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237" w:type="pct"/>
        <w:tblCellSpacing w:w="0" w:type="dxa"/>
        <w:tblInd w:w="-45" w:type="dxa"/>
        <w:shd w:val="clear"/>
        <w:tblLayout w:type="autofit"/>
        <w:tblCellMar>
          <w:top w:w="0" w:type="dxa"/>
          <w:left w:w="0" w:type="dxa"/>
          <w:bottom w:w="0" w:type="dxa"/>
          <w:right w:w="0" w:type="dxa"/>
        </w:tblCellMar>
      </w:tblPr>
      <w:tblGrid>
        <w:gridCol w:w="44"/>
        <w:gridCol w:w="1800"/>
        <w:gridCol w:w="6508"/>
        <w:gridCol w:w="348"/>
      </w:tblGrid>
      <w:tr>
        <w:tblPrEx>
          <w:shd w:val="clear"/>
          <w:tblCellMar>
            <w:top w:w="0" w:type="dxa"/>
            <w:left w:w="0" w:type="dxa"/>
            <w:bottom w:w="0" w:type="dxa"/>
            <w:right w:w="0" w:type="dxa"/>
          </w:tblCellMar>
        </w:tblPrEx>
        <w:trPr>
          <w:gridBefore w:val="1"/>
          <w:gridAfter w:val="1"/>
          <w:wBefore w:w="25" w:type="pct"/>
          <w:wAfter w:w="200" w:type="pct"/>
          <w:tblCellSpacing w:w="0" w:type="dxa"/>
        </w:trPr>
        <w:tc>
          <w:tcPr>
            <w:tcW w:w="1034" w:type="pct"/>
            <w:shd w:val="clear"/>
            <w:vAlign w:val="top"/>
          </w:tcPr>
          <w:p>
            <w:pPr>
              <w:keepNext w:val="0"/>
              <w:keepLines w:val="0"/>
              <w:widowControl/>
              <w:suppressLineNumbers w:val="0"/>
              <w:pBdr>
                <w:top w:val="single" w:color="CCCCC4" w:sz="4" w:space="2"/>
                <w:left w:val="single" w:color="CCCCC4" w:sz="4" w:space="2"/>
                <w:bottom w:val="single" w:color="CCCCC4" w:sz="4" w:space="2"/>
                <w:right w:val="single" w:color="CCCCC4" w:sz="4" w:space="2"/>
              </w:pBdr>
              <w:spacing w:line="220" w:lineRule="atLeast"/>
              <w:ind w:left="0" w:firstLine="0"/>
              <w:jc w:val="center"/>
              <w:rPr>
                <w:rFonts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bdr w:val="single" w:color="CCCCC4" w:sz="4" w:space="0"/>
                <w:lang w:val="en-US" w:eastAsia="zh-CN" w:bidi="ar"/>
              </w:rPr>
              <w:drawing>
                <wp:inline distT="0" distB="0" distL="114300" distR="114300">
                  <wp:extent cx="1143000" cy="1524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43000" cy="1524000"/>
                          </a:xfrm>
                          <a:prstGeom prst="rect">
                            <a:avLst/>
                          </a:prstGeom>
                          <a:noFill/>
                          <a:ln w="9525">
                            <a:noFill/>
                          </a:ln>
                        </pic:spPr>
                      </pic:pic>
                    </a:graphicData>
                  </a:graphic>
                </wp:inline>
              </w:drawing>
            </w:r>
          </w:p>
          <w:p>
            <w:pPr>
              <w:keepNext w:val="0"/>
              <w:keepLines w:val="0"/>
              <w:widowControl/>
              <w:suppressLineNumbers w:val="0"/>
              <w:spacing w:line="220" w:lineRule="atLeast"/>
              <w:ind w:left="0" w:firstLine="0"/>
              <w:jc w:val="center"/>
              <w:rPr>
                <w:rFonts w:hint="default" w:ascii="Arial" w:hAnsi="Arial" w:cs="Arial"/>
                <w:b w:val="0"/>
                <w:caps w:val="0"/>
                <w:color w:val="000000"/>
                <w:spacing w:val="0"/>
                <w:sz w:val="14"/>
                <w:szCs w:val="14"/>
              </w:rPr>
            </w:pPr>
            <w:r>
              <w:rPr>
                <w:rFonts w:hint="default" w:ascii="Arial" w:hAnsi="Arial" w:eastAsia="宋体" w:cs="Arial"/>
                <w:b/>
                <w:caps w:val="0"/>
                <w:color w:val="000000"/>
                <w:spacing w:val="0"/>
                <w:kern w:val="0"/>
                <w:sz w:val="14"/>
                <w:szCs w:val="14"/>
                <w:lang w:val="en-US" w:eastAsia="zh-CN" w:bidi="ar"/>
              </w:rPr>
              <w:t>第一期</w:t>
            </w:r>
          </w:p>
        </w:tc>
        <w:tc>
          <w:tcPr>
            <w:tcW w:w="3739" w:type="pct"/>
            <w:shd w:val="clear"/>
            <w:vAlign w:val="top"/>
          </w:tcPr>
          <w:tbl>
            <w:tblPr>
              <w:tblW w:w="4900" w:type="pct"/>
              <w:jc w:val="center"/>
              <w:tblCellSpacing w:w="0" w:type="dxa"/>
              <w:shd w:val="clear"/>
              <w:tblLayout w:type="autofit"/>
              <w:tblCellMar>
                <w:top w:w="0" w:type="dxa"/>
                <w:left w:w="0" w:type="dxa"/>
                <w:bottom w:w="0" w:type="dxa"/>
                <w:right w:w="0" w:type="dxa"/>
              </w:tblCellMar>
            </w:tblPr>
            <w:tblGrid>
              <w:gridCol w:w="6378"/>
            </w:tblGrid>
            <w:tr>
              <w:tblPrEx>
                <w:tblCellMar>
                  <w:top w:w="0" w:type="dxa"/>
                  <w:left w:w="0" w:type="dxa"/>
                  <w:bottom w:w="0" w:type="dxa"/>
                  <w:right w:w="0" w:type="dxa"/>
                </w:tblCellM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r>
              <w:tblPrEx>
                <w:shd w:val="clear"/>
                <w:tblCellMar>
                  <w:top w:w="0" w:type="dxa"/>
                  <w:left w:w="0" w:type="dxa"/>
                  <w:bottom w:w="0" w:type="dxa"/>
                  <w:right w:w="0" w:type="dxa"/>
                </w:tblCellMar>
              </w:tblPrEx>
              <w:trPr>
                <w:trHeight w:val="221" w:hRule="atLeast"/>
                <w:tblCellSpacing w:w="0" w:type="dxa"/>
                <w:jc w:val="center"/>
              </w:trPr>
              <w:tc>
                <w:tcPr>
                  <w:tcW w:w="0" w:type="auto"/>
                  <w:shd w:val="clear" w:color="auto" w:fill="F2F2F2"/>
                  <w:vAlign w:val="center"/>
                </w:tcPr>
                <w:tbl>
                  <w:tblPr>
                    <w:tblW w:w="5000" w:type="pct"/>
                    <w:tblCellSpacing w:w="0" w:type="dxa"/>
                    <w:tblInd w:w="0" w:type="dxa"/>
                    <w:shd w:val="clear"/>
                    <w:tblLayout w:type="autofit"/>
                    <w:tblCellMar>
                      <w:top w:w="0" w:type="dxa"/>
                      <w:left w:w="0" w:type="dxa"/>
                      <w:bottom w:w="0" w:type="dxa"/>
                      <w:right w:w="0" w:type="dxa"/>
                    </w:tblCellMar>
                  </w:tblPr>
                  <w:tblGrid>
                    <w:gridCol w:w="6378"/>
                  </w:tblGrid>
                  <w:tr>
                    <w:tblPrEx>
                      <w:shd w:val="clear"/>
                    </w:tblPrEx>
                    <w:trPr>
                      <w:trHeight w:val="251" w:hRule="atLeast"/>
                      <w:tblCellSpacing w:w="0" w:type="dxa"/>
                    </w:trPr>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000000"/>
                            <w:kern w:val="0"/>
                            <w:sz w:val="14"/>
                            <w:szCs w:val="14"/>
                            <w:lang w:val="en-US" w:eastAsia="zh-CN" w:bidi="ar"/>
                          </w:rPr>
                          <w:t>　</w:t>
                        </w:r>
                        <w:r>
                          <w:rPr>
                            <w:rStyle w:val="5"/>
                            <w:rFonts w:ascii="宋体" w:hAnsi="宋体" w:eastAsia="宋体" w:cs="宋体"/>
                            <w:color w:val="000000"/>
                            <w:kern w:val="0"/>
                            <w:sz w:val="14"/>
                            <w:szCs w:val="14"/>
                            <w:lang w:val="en-US" w:eastAsia="zh-CN" w:bidi="ar"/>
                          </w:rPr>
                          <w:t>卷首语</w:t>
                        </w:r>
                      </w:p>
                    </w:tc>
                  </w:tr>
                </w:tbl>
                <w:p>
                  <w:pPr>
                    <w:spacing w:line="220" w:lineRule="atLeast"/>
                    <w:rPr>
                      <w:b w:val="0"/>
                      <w:color w:val="000000"/>
                      <w:sz w:val="14"/>
                      <w:szCs w:val="14"/>
                    </w:rPr>
                  </w:pPr>
                </w:p>
              </w:tc>
            </w:tr>
            <w:tr>
              <w:tblPrEx>
                <w:shd w:val="clear"/>
                <w:tblCellMar>
                  <w:top w:w="0" w:type="dxa"/>
                  <w:left w:w="0" w:type="dxa"/>
                  <w:bottom w:w="0" w:type="dxa"/>
                  <w:right w:w="0" w:type="dxa"/>
                </w:tblCellM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bl>
          <w:p>
            <w:pPr>
              <w:rPr>
                <w:vanish/>
                <w:sz w:val="24"/>
                <w:szCs w:val="24"/>
              </w:rPr>
            </w:pPr>
          </w:p>
          <w:tbl>
            <w:tblPr>
              <w:tblW w:w="4900" w:type="pct"/>
              <w:jc w:val="center"/>
              <w:tblCellSpacing w:w="0" w:type="dxa"/>
              <w:shd w:val="clear"/>
              <w:tblLayout w:type="autofit"/>
              <w:tblCellMar>
                <w:top w:w="0" w:type="dxa"/>
                <w:left w:w="0" w:type="dxa"/>
                <w:bottom w:w="0" w:type="dxa"/>
                <w:right w:w="0" w:type="dxa"/>
              </w:tblCellMar>
            </w:tblPr>
            <w:tblGrid>
              <w:gridCol w:w="150"/>
              <w:gridCol w:w="6228"/>
            </w:tblGrid>
            <w:tr>
              <w:tblPrEx>
                <w:shd w:val="clear"/>
                <w:tblCellMar>
                  <w:top w:w="0" w:type="dxa"/>
                  <w:left w:w="0" w:type="dxa"/>
                  <w:bottom w:w="0" w:type="dxa"/>
                  <w:right w:w="0" w:type="dxa"/>
                </w:tblCellMar>
              </w:tblPrEx>
              <w:trPr>
                <w:trHeight w:val="211" w:hRule="atLeast"/>
                <w:tblCellSpacing w:w="0" w:type="dxa"/>
                <w:jc w:val="center"/>
              </w:trPr>
              <w:tc>
                <w:tcPr>
                  <w:tcW w:w="150" w:type="dxa"/>
                  <w:shd w:val="clear"/>
                  <w:vAlign w:val="center"/>
                </w:tcPr>
                <w:p>
                  <w:pPr>
                    <w:keepNext w:val="0"/>
                    <w:keepLines w:val="0"/>
                    <w:widowControl/>
                    <w:suppressLineNumbers w:val="0"/>
                    <w:spacing w:line="220" w:lineRule="atLeast"/>
                    <w:jc w:val="center"/>
                    <w:rPr>
                      <w:b w:val="0"/>
                      <w:color w:val="000000"/>
                      <w:sz w:val="14"/>
                      <w:szCs w:val="14"/>
                    </w:rPr>
                  </w:pPr>
                  <w:r>
                    <w:rPr>
                      <w:rFonts w:ascii="宋体" w:hAnsi="宋体" w:eastAsia="宋体" w:cs="宋体"/>
                      <w:b w:val="0"/>
                      <w:color w:val="000000"/>
                      <w:kern w:val="0"/>
                      <w:sz w:val="14"/>
                      <w:szCs w:val="14"/>
                      <w:lang w:val="en-US" w:eastAsia="zh-CN" w:bidi="ar"/>
                    </w:rPr>
                    <w:t>·</w:t>
                  </w:r>
                </w:p>
              </w:tc>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717171"/>
                      <w:kern w:val="0"/>
                      <w:sz w:val="14"/>
                      <w:szCs w:val="14"/>
                      <w:u w:val="none"/>
                      <w:lang w:val="en-US" w:eastAsia="zh-CN" w:bidi="ar"/>
                    </w:rPr>
                    <w:fldChar w:fldCharType="begin"/>
                  </w:r>
                  <w:r>
                    <w:rPr>
                      <w:rFonts w:ascii="宋体" w:hAnsi="宋体" w:eastAsia="宋体" w:cs="宋体"/>
                      <w:b w:val="0"/>
                      <w:color w:val="717171"/>
                      <w:kern w:val="0"/>
                      <w:sz w:val="14"/>
                      <w:szCs w:val="14"/>
                      <w:u w:val="none"/>
                      <w:lang w:val="en-US" w:eastAsia="zh-CN" w:bidi="ar"/>
                    </w:rPr>
                    <w:instrText xml:space="preserve"> HYPERLINK "http://www.pyneo.com/Cnnewmore_zz.asp?id=38" </w:instrText>
                  </w:r>
                  <w:r>
                    <w:rPr>
                      <w:rFonts w:ascii="宋体" w:hAnsi="宋体" w:eastAsia="宋体" w:cs="宋体"/>
                      <w:b w:val="0"/>
                      <w:color w:val="717171"/>
                      <w:kern w:val="0"/>
                      <w:sz w:val="14"/>
                      <w:szCs w:val="14"/>
                      <w:u w:val="none"/>
                      <w:lang w:val="en-US" w:eastAsia="zh-CN" w:bidi="ar"/>
                    </w:rPr>
                    <w:fldChar w:fldCharType="separate"/>
                  </w:r>
                  <w:r>
                    <w:rPr>
                      <w:rStyle w:val="6"/>
                      <w:rFonts w:ascii="宋体" w:hAnsi="宋体" w:eastAsia="宋体" w:cs="宋体"/>
                      <w:b w:val="0"/>
                      <w:color w:val="717171"/>
                      <w:sz w:val="14"/>
                      <w:szCs w:val="14"/>
                      <w:u w:val="none"/>
                    </w:rPr>
                    <w:t>简单与复杂——佚名</w:t>
                  </w:r>
                  <w:r>
                    <w:rPr>
                      <w:rFonts w:ascii="宋体" w:hAnsi="宋体" w:eastAsia="宋体" w:cs="宋体"/>
                      <w:b w:val="0"/>
                      <w:color w:val="717171"/>
                      <w:kern w:val="0"/>
                      <w:sz w:val="14"/>
                      <w:szCs w:val="14"/>
                      <w:u w:val="none"/>
                      <w:lang w:val="en-US" w:eastAsia="zh-CN" w:bidi="ar"/>
                    </w:rPr>
                    <w:fldChar w:fldCharType="end"/>
                  </w:r>
                </w:p>
              </w:tc>
            </w:tr>
          </w:tbl>
          <w:p>
            <w:pPr>
              <w:rPr>
                <w:vanish/>
                <w:sz w:val="24"/>
                <w:szCs w:val="24"/>
              </w:rPr>
            </w:pPr>
          </w:p>
          <w:tbl>
            <w:tblPr>
              <w:tblW w:w="4900" w:type="pct"/>
              <w:jc w:val="center"/>
              <w:tblCellSpacing w:w="0" w:type="dxa"/>
              <w:shd w:val="clear"/>
              <w:tblLayout w:type="autofit"/>
              <w:tblCellMar>
                <w:top w:w="0" w:type="dxa"/>
                <w:left w:w="0" w:type="dxa"/>
                <w:bottom w:w="0" w:type="dxa"/>
                <w:right w:w="0" w:type="dxa"/>
              </w:tblCellMar>
            </w:tblPr>
            <w:tblGrid>
              <w:gridCol w:w="6378"/>
            </w:tblGrid>
            <w:tr>
              <w:tblPrEx>
                <w:tblCellMar>
                  <w:top w:w="0" w:type="dxa"/>
                  <w:left w:w="0" w:type="dxa"/>
                  <w:bottom w:w="0" w:type="dxa"/>
                  <w:right w:w="0" w:type="dxa"/>
                </w:tblCellM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r>
              <w:tblPrEx>
                <w:shd w:val="clear"/>
                <w:tblCellMar>
                  <w:top w:w="0" w:type="dxa"/>
                  <w:left w:w="0" w:type="dxa"/>
                  <w:bottom w:w="0" w:type="dxa"/>
                  <w:right w:w="0" w:type="dxa"/>
                </w:tblCellMar>
              </w:tblPrEx>
              <w:trPr>
                <w:trHeight w:val="221" w:hRule="atLeast"/>
                <w:tblCellSpacing w:w="0" w:type="dxa"/>
                <w:jc w:val="center"/>
              </w:trPr>
              <w:tc>
                <w:tcPr>
                  <w:tcW w:w="0" w:type="auto"/>
                  <w:shd w:val="clear" w:color="auto" w:fill="F2F2F2"/>
                  <w:vAlign w:val="center"/>
                </w:tcPr>
                <w:tbl>
                  <w:tblPr>
                    <w:tblW w:w="5000" w:type="pct"/>
                    <w:tblCellSpacing w:w="0" w:type="dxa"/>
                    <w:tblInd w:w="0" w:type="dxa"/>
                    <w:shd w:val="clear"/>
                    <w:tblLayout w:type="autofit"/>
                    <w:tblCellMar>
                      <w:top w:w="0" w:type="dxa"/>
                      <w:left w:w="0" w:type="dxa"/>
                      <w:bottom w:w="0" w:type="dxa"/>
                      <w:right w:w="0" w:type="dxa"/>
                    </w:tblCellMar>
                  </w:tblPr>
                  <w:tblGrid>
                    <w:gridCol w:w="6378"/>
                  </w:tblGrid>
                  <w:tr>
                    <w:tblPrEx>
                      <w:shd w:val="clear"/>
                    </w:tblPrEx>
                    <w:trPr>
                      <w:trHeight w:val="251" w:hRule="atLeast"/>
                      <w:tblCellSpacing w:w="0" w:type="dxa"/>
                    </w:trPr>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000000"/>
                            <w:kern w:val="0"/>
                            <w:sz w:val="14"/>
                            <w:szCs w:val="14"/>
                            <w:lang w:val="en-US" w:eastAsia="zh-CN" w:bidi="ar"/>
                          </w:rPr>
                          <w:t>　</w:t>
                        </w:r>
                        <w:r>
                          <w:rPr>
                            <w:rStyle w:val="5"/>
                            <w:rFonts w:ascii="宋体" w:hAnsi="宋体" w:eastAsia="宋体" w:cs="宋体"/>
                            <w:color w:val="000000"/>
                            <w:kern w:val="0"/>
                            <w:sz w:val="14"/>
                            <w:szCs w:val="14"/>
                            <w:lang w:val="en-US" w:eastAsia="zh-CN" w:bidi="ar"/>
                          </w:rPr>
                          <w:t>专题</w:t>
                        </w:r>
                      </w:p>
                    </w:tc>
                  </w:tr>
                </w:tbl>
                <w:p>
                  <w:pPr>
                    <w:spacing w:line="220" w:lineRule="atLeast"/>
                    <w:rPr>
                      <w:b w:val="0"/>
                      <w:color w:val="000000"/>
                      <w:sz w:val="14"/>
                      <w:szCs w:val="14"/>
                    </w:rPr>
                  </w:pPr>
                </w:p>
              </w:tc>
            </w:tr>
            <w:tr>
              <w:tblPrEx>
                <w:shd w:val="cle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bl>
          <w:p>
            <w:pPr>
              <w:rPr>
                <w:vanish/>
                <w:sz w:val="24"/>
                <w:szCs w:val="24"/>
              </w:rPr>
            </w:pPr>
          </w:p>
          <w:tbl>
            <w:tblPr>
              <w:tblW w:w="4900" w:type="pct"/>
              <w:jc w:val="center"/>
              <w:tblCellSpacing w:w="0" w:type="dxa"/>
              <w:shd w:val="clear"/>
              <w:tblLayout w:type="autofit"/>
              <w:tblCellMar>
                <w:top w:w="0" w:type="dxa"/>
                <w:left w:w="0" w:type="dxa"/>
                <w:bottom w:w="0" w:type="dxa"/>
                <w:right w:w="0" w:type="dxa"/>
              </w:tblCellMar>
            </w:tblPr>
            <w:tblGrid>
              <w:gridCol w:w="150"/>
              <w:gridCol w:w="6228"/>
            </w:tblGrid>
            <w:tr>
              <w:trPr>
                <w:trHeight w:val="211" w:hRule="atLeast"/>
                <w:tblCellSpacing w:w="0" w:type="dxa"/>
                <w:jc w:val="center"/>
              </w:trPr>
              <w:tc>
                <w:tcPr>
                  <w:tcW w:w="150" w:type="dxa"/>
                  <w:shd w:val="clear"/>
                  <w:vAlign w:val="center"/>
                </w:tcPr>
                <w:p>
                  <w:pPr>
                    <w:keepNext w:val="0"/>
                    <w:keepLines w:val="0"/>
                    <w:widowControl/>
                    <w:suppressLineNumbers w:val="0"/>
                    <w:spacing w:line="220" w:lineRule="atLeast"/>
                    <w:jc w:val="center"/>
                    <w:rPr>
                      <w:b w:val="0"/>
                      <w:color w:val="000000"/>
                      <w:sz w:val="14"/>
                      <w:szCs w:val="14"/>
                    </w:rPr>
                  </w:pPr>
                  <w:r>
                    <w:rPr>
                      <w:rFonts w:ascii="宋体" w:hAnsi="宋体" w:eastAsia="宋体" w:cs="宋体"/>
                      <w:b w:val="0"/>
                      <w:color w:val="000000"/>
                      <w:kern w:val="0"/>
                      <w:sz w:val="14"/>
                      <w:szCs w:val="14"/>
                      <w:lang w:val="en-US" w:eastAsia="zh-CN" w:bidi="ar"/>
                    </w:rPr>
                    <w:t>·</w:t>
                  </w:r>
                </w:p>
              </w:tc>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717171"/>
                      <w:kern w:val="0"/>
                      <w:sz w:val="14"/>
                      <w:szCs w:val="14"/>
                      <w:u w:val="none"/>
                      <w:lang w:val="en-US" w:eastAsia="zh-CN" w:bidi="ar"/>
                    </w:rPr>
                    <w:fldChar w:fldCharType="begin"/>
                  </w:r>
                  <w:r>
                    <w:rPr>
                      <w:rFonts w:ascii="宋体" w:hAnsi="宋体" w:eastAsia="宋体" w:cs="宋体"/>
                      <w:b w:val="0"/>
                      <w:color w:val="717171"/>
                      <w:kern w:val="0"/>
                      <w:sz w:val="14"/>
                      <w:szCs w:val="14"/>
                      <w:u w:val="none"/>
                      <w:lang w:val="en-US" w:eastAsia="zh-CN" w:bidi="ar"/>
                    </w:rPr>
                    <w:instrText xml:space="preserve"> HYPERLINK "http://www.pyneo.com/Cnnewmore_zz.asp?id=14" </w:instrText>
                  </w:r>
                  <w:r>
                    <w:rPr>
                      <w:rFonts w:ascii="宋体" w:hAnsi="宋体" w:eastAsia="宋体" w:cs="宋体"/>
                      <w:b w:val="0"/>
                      <w:color w:val="717171"/>
                      <w:kern w:val="0"/>
                      <w:sz w:val="14"/>
                      <w:szCs w:val="14"/>
                      <w:u w:val="none"/>
                      <w:lang w:val="en-US" w:eastAsia="zh-CN" w:bidi="ar"/>
                    </w:rPr>
                    <w:fldChar w:fldCharType="separate"/>
                  </w:r>
                  <w:r>
                    <w:rPr>
                      <w:rStyle w:val="6"/>
                      <w:rFonts w:ascii="宋体" w:hAnsi="宋体" w:eastAsia="宋体" w:cs="宋体"/>
                      <w:b w:val="0"/>
                      <w:color w:val="717171"/>
                      <w:sz w:val="14"/>
                      <w:szCs w:val="14"/>
                      <w:u w:val="none"/>
                    </w:rPr>
                    <w:t>以技术为依托 以市场为导向—总裁工作部 马慧汝</w:t>
                  </w:r>
                  <w:r>
                    <w:rPr>
                      <w:rFonts w:ascii="宋体" w:hAnsi="宋体" w:eastAsia="宋体" w:cs="宋体"/>
                      <w:b w:val="0"/>
                      <w:color w:val="717171"/>
                      <w:kern w:val="0"/>
                      <w:sz w:val="14"/>
                      <w:szCs w:val="14"/>
                      <w:u w:val="none"/>
                      <w:lang w:val="en-US" w:eastAsia="zh-CN" w:bidi="ar"/>
                    </w:rPr>
                    <w:fldChar w:fldCharType="end"/>
                  </w:r>
                </w:p>
              </w:tc>
            </w:tr>
          </w:tbl>
          <w:p>
            <w:pPr>
              <w:rPr>
                <w:vanish/>
                <w:sz w:val="24"/>
                <w:szCs w:val="24"/>
              </w:rPr>
            </w:pPr>
          </w:p>
          <w:tbl>
            <w:tblPr>
              <w:tblW w:w="4900" w:type="pct"/>
              <w:jc w:val="center"/>
              <w:tblCellSpacing w:w="0" w:type="dxa"/>
              <w:shd w:val="clear"/>
              <w:tblLayout w:type="autofit"/>
              <w:tblCellMar>
                <w:top w:w="0" w:type="dxa"/>
                <w:left w:w="0" w:type="dxa"/>
                <w:bottom w:w="0" w:type="dxa"/>
                <w:right w:w="0" w:type="dxa"/>
              </w:tblCellMar>
            </w:tblPr>
            <w:tblGrid>
              <w:gridCol w:w="6378"/>
            </w:tblGrid>
            <w:tr>
              <w:tblPrEx>
                <w:shd w:val="cle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r>
              <w:tblPrEx>
                <w:shd w:val="clear"/>
                <w:tblCellMar>
                  <w:top w:w="0" w:type="dxa"/>
                  <w:left w:w="0" w:type="dxa"/>
                  <w:bottom w:w="0" w:type="dxa"/>
                  <w:right w:w="0" w:type="dxa"/>
                </w:tblCellMar>
              </w:tblPrEx>
              <w:trPr>
                <w:trHeight w:val="221" w:hRule="atLeast"/>
                <w:tblCellSpacing w:w="0" w:type="dxa"/>
                <w:jc w:val="center"/>
              </w:trPr>
              <w:tc>
                <w:tcPr>
                  <w:tcW w:w="0" w:type="auto"/>
                  <w:shd w:val="clear" w:color="auto" w:fill="F2F2F2"/>
                  <w:vAlign w:val="center"/>
                </w:tcPr>
                <w:tbl>
                  <w:tblPr>
                    <w:tblW w:w="5000" w:type="pct"/>
                    <w:tblCellSpacing w:w="0" w:type="dxa"/>
                    <w:tblInd w:w="0" w:type="dxa"/>
                    <w:shd w:val="clear"/>
                    <w:tblLayout w:type="autofit"/>
                    <w:tblCellMar>
                      <w:top w:w="0" w:type="dxa"/>
                      <w:left w:w="0" w:type="dxa"/>
                      <w:bottom w:w="0" w:type="dxa"/>
                      <w:right w:w="0" w:type="dxa"/>
                    </w:tblCellMar>
                  </w:tblPr>
                  <w:tblGrid>
                    <w:gridCol w:w="6378"/>
                  </w:tblGrid>
                  <w:tr>
                    <w:trPr>
                      <w:trHeight w:val="251" w:hRule="atLeast"/>
                      <w:tblCellSpacing w:w="0" w:type="dxa"/>
                    </w:trPr>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000000"/>
                            <w:kern w:val="0"/>
                            <w:sz w:val="14"/>
                            <w:szCs w:val="14"/>
                            <w:lang w:val="en-US" w:eastAsia="zh-CN" w:bidi="ar"/>
                          </w:rPr>
                          <w:t>　</w:t>
                        </w:r>
                        <w:r>
                          <w:rPr>
                            <w:rStyle w:val="5"/>
                            <w:rFonts w:ascii="宋体" w:hAnsi="宋体" w:eastAsia="宋体" w:cs="宋体"/>
                            <w:color w:val="000000"/>
                            <w:kern w:val="0"/>
                            <w:sz w:val="14"/>
                            <w:szCs w:val="14"/>
                            <w:lang w:val="en-US" w:eastAsia="zh-CN" w:bidi="ar"/>
                          </w:rPr>
                          <w:t>南山路</w:t>
                        </w:r>
                      </w:p>
                    </w:tc>
                  </w:tr>
                </w:tbl>
                <w:p>
                  <w:pPr>
                    <w:spacing w:line="220" w:lineRule="atLeast"/>
                    <w:rPr>
                      <w:b w:val="0"/>
                      <w:color w:val="000000"/>
                      <w:sz w:val="14"/>
                      <w:szCs w:val="14"/>
                    </w:rPr>
                  </w:pPr>
                </w:p>
              </w:tc>
            </w:tr>
            <w:tr>
              <w:tblPrEx>
                <w:shd w:val="clear"/>
                <w:tblCellMar>
                  <w:top w:w="0" w:type="dxa"/>
                  <w:left w:w="0" w:type="dxa"/>
                  <w:bottom w:w="0" w:type="dxa"/>
                  <w:right w:w="0" w:type="dxa"/>
                </w:tblCellM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bl>
          <w:p>
            <w:pPr>
              <w:rPr>
                <w:vanish/>
                <w:sz w:val="24"/>
                <w:szCs w:val="24"/>
              </w:rPr>
            </w:pPr>
          </w:p>
          <w:tbl>
            <w:tblPr>
              <w:tblW w:w="4900" w:type="pct"/>
              <w:jc w:val="center"/>
              <w:tblCellSpacing w:w="0" w:type="dxa"/>
              <w:shd w:val="clear"/>
              <w:tblLayout w:type="autofit"/>
              <w:tblCellMar>
                <w:top w:w="0" w:type="dxa"/>
                <w:left w:w="0" w:type="dxa"/>
                <w:bottom w:w="0" w:type="dxa"/>
                <w:right w:w="0" w:type="dxa"/>
              </w:tblCellMar>
            </w:tblPr>
            <w:tblGrid>
              <w:gridCol w:w="150"/>
              <w:gridCol w:w="6228"/>
            </w:tblGrid>
            <w:tr>
              <w:tblPrEx>
                <w:shd w:val="clear"/>
                <w:tblCellMar>
                  <w:top w:w="0" w:type="dxa"/>
                  <w:left w:w="0" w:type="dxa"/>
                  <w:bottom w:w="0" w:type="dxa"/>
                  <w:right w:w="0" w:type="dxa"/>
                </w:tblCellMar>
              </w:tblPrEx>
              <w:trPr>
                <w:trHeight w:val="211" w:hRule="atLeast"/>
                <w:tblCellSpacing w:w="0" w:type="dxa"/>
                <w:jc w:val="center"/>
              </w:trPr>
              <w:tc>
                <w:tcPr>
                  <w:tcW w:w="150" w:type="dxa"/>
                  <w:shd w:val="clear"/>
                  <w:vAlign w:val="center"/>
                </w:tcPr>
                <w:p>
                  <w:pPr>
                    <w:keepNext w:val="0"/>
                    <w:keepLines w:val="0"/>
                    <w:widowControl/>
                    <w:suppressLineNumbers w:val="0"/>
                    <w:spacing w:line="220" w:lineRule="atLeast"/>
                    <w:jc w:val="center"/>
                    <w:rPr>
                      <w:b w:val="0"/>
                      <w:color w:val="000000"/>
                      <w:sz w:val="14"/>
                      <w:szCs w:val="14"/>
                    </w:rPr>
                  </w:pPr>
                  <w:r>
                    <w:rPr>
                      <w:rFonts w:ascii="宋体" w:hAnsi="宋体" w:eastAsia="宋体" w:cs="宋体"/>
                      <w:b w:val="0"/>
                      <w:color w:val="000000"/>
                      <w:kern w:val="0"/>
                      <w:sz w:val="14"/>
                      <w:szCs w:val="14"/>
                      <w:lang w:val="en-US" w:eastAsia="zh-CN" w:bidi="ar"/>
                    </w:rPr>
                    <w:t>·</w:t>
                  </w:r>
                </w:p>
              </w:tc>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717171"/>
                      <w:kern w:val="0"/>
                      <w:sz w:val="14"/>
                      <w:szCs w:val="14"/>
                      <w:u w:val="none"/>
                      <w:lang w:val="en-US" w:eastAsia="zh-CN" w:bidi="ar"/>
                    </w:rPr>
                    <w:fldChar w:fldCharType="begin"/>
                  </w:r>
                  <w:r>
                    <w:rPr>
                      <w:rFonts w:ascii="宋体" w:hAnsi="宋体" w:eastAsia="宋体" w:cs="宋体"/>
                      <w:b w:val="0"/>
                      <w:color w:val="717171"/>
                      <w:kern w:val="0"/>
                      <w:sz w:val="14"/>
                      <w:szCs w:val="14"/>
                      <w:u w:val="none"/>
                      <w:lang w:val="en-US" w:eastAsia="zh-CN" w:bidi="ar"/>
                    </w:rPr>
                    <w:instrText xml:space="preserve"> HYPERLINK "http://www.pyneo.com/Cnnewmore_zz.asp?id=11" </w:instrText>
                  </w:r>
                  <w:r>
                    <w:rPr>
                      <w:rFonts w:ascii="宋体" w:hAnsi="宋体" w:eastAsia="宋体" w:cs="宋体"/>
                      <w:b w:val="0"/>
                      <w:color w:val="717171"/>
                      <w:kern w:val="0"/>
                      <w:sz w:val="14"/>
                      <w:szCs w:val="14"/>
                      <w:u w:val="none"/>
                      <w:lang w:val="en-US" w:eastAsia="zh-CN" w:bidi="ar"/>
                    </w:rPr>
                    <w:fldChar w:fldCharType="separate"/>
                  </w:r>
                  <w:r>
                    <w:rPr>
                      <w:rStyle w:val="6"/>
                      <w:rFonts w:ascii="宋体" w:hAnsi="宋体" w:eastAsia="宋体" w:cs="宋体"/>
                      <w:b w:val="0"/>
                      <w:color w:val="717171"/>
                      <w:sz w:val="14"/>
                      <w:szCs w:val="14"/>
                      <w:u w:val="none"/>
                    </w:rPr>
                    <w:t>历史拐角处的浪漫 — 梅子</w:t>
                  </w:r>
                  <w:r>
                    <w:rPr>
                      <w:rFonts w:ascii="宋体" w:hAnsi="宋体" w:eastAsia="宋体" w:cs="宋体"/>
                      <w:b w:val="0"/>
                      <w:color w:val="717171"/>
                      <w:kern w:val="0"/>
                      <w:sz w:val="14"/>
                      <w:szCs w:val="14"/>
                      <w:u w:val="none"/>
                      <w:lang w:val="en-US" w:eastAsia="zh-CN" w:bidi="ar"/>
                    </w:rPr>
                    <w:fldChar w:fldCharType="end"/>
                  </w:r>
                </w:p>
              </w:tc>
            </w:tr>
          </w:tbl>
          <w:p>
            <w:pPr>
              <w:rPr>
                <w:vanish/>
                <w:sz w:val="24"/>
                <w:szCs w:val="24"/>
              </w:rPr>
            </w:pPr>
          </w:p>
          <w:tbl>
            <w:tblPr>
              <w:tblW w:w="4900" w:type="pct"/>
              <w:jc w:val="center"/>
              <w:tblCellSpacing w:w="0" w:type="dxa"/>
              <w:shd w:val="clear"/>
              <w:tblLayout w:type="autofit"/>
              <w:tblCellMar>
                <w:top w:w="0" w:type="dxa"/>
                <w:left w:w="0" w:type="dxa"/>
                <w:bottom w:w="0" w:type="dxa"/>
                <w:right w:w="0" w:type="dxa"/>
              </w:tblCellMar>
            </w:tblPr>
            <w:tblGrid>
              <w:gridCol w:w="6378"/>
            </w:tblGrid>
            <w:tr>
              <w:tblPrEx>
                <w:shd w:val="clear"/>
                <w:tblCellMar>
                  <w:top w:w="0" w:type="dxa"/>
                  <w:left w:w="0" w:type="dxa"/>
                  <w:bottom w:w="0" w:type="dxa"/>
                  <w:right w:w="0" w:type="dxa"/>
                </w:tblCellM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r>
              <w:tblPrEx>
                <w:tblCellMar>
                  <w:top w:w="0" w:type="dxa"/>
                  <w:left w:w="0" w:type="dxa"/>
                  <w:bottom w:w="0" w:type="dxa"/>
                  <w:right w:w="0" w:type="dxa"/>
                </w:tblCellMar>
              </w:tblPrEx>
              <w:trPr>
                <w:trHeight w:val="221" w:hRule="atLeast"/>
                <w:tblCellSpacing w:w="0" w:type="dxa"/>
                <w:jc w:val="center"/>
              </w:trPr>
              <w:tc>
                <w:tcPr>
                  <w:tcW w:w="0" w:type="auto"/>
                  <w:shd w:val="clear" w:color="auto" w:fill="F2F2F2"/>
                  <w:vAlign w:val="center"/>
                </w:tcPr>
                <w:tbl>
                  <w:tblPr>
                    <w:tblW w:w="5000" w:type="pct"/>
                    <w:tblCellSpacing w:w="0" w:type="dxa"/>
                    <w:tblInd w:w="0" w:type="dxa"/>
                    <w:shd w:val="clear"/>
                    <w:tblLayout w:type="autofit"/>
                    <w:tblCellMar>
                      <w:top w:w="0" w:type="dxa"/>
                      <w:left w:w="0" w:type="dxa"/>
                      <w:bottom w:w="0" w:type="dxa"/>
                      <w:right w:w="0" w:type="dxa"/>
                    </w:tblCellMar>
                  </w:tblPr>
                  <w:tblGrid>
                    <w:gridCol w:w="6378"/>
                  </w:tblGrid>
                  <w:tr>
                    <w:tblPrEx>
                      <w:shd w:val="clear"/>
                    </w:tblPrEx>
                    <w:trPr>
                      <w:trHeight w:val="251" w:hRule="atLeast"/>
                      <w:tblCellSpacing w:w="0" w:type="dxa"/>
                    </w:trPr>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000000"/>
                            <w:kern w:val="0"/>
                            <w:sz w:val="14"/>
                            <w:szCs w:val="14"/>
                            <w:lang w:val="en-US" w:eastAsia="zh-CN" w:bidi="ar"/>
                          </w:rPr>
                          <w:t>　</w:t>
                        </w:r>
                        <w:r>
                          <w:rPr>
                            <w:rStyle w:val="5"/>
                            <w:rFonts w:ascii="宋体" w:hAnsi="宋体" w:eastAsia="宋体" w:cs="宋体"/>
                            <w:color w:val="000000"/>
                            <w:kern w:val="0"/>
                            <w:sz w:val="14"/>
                            <w:szCs w:val="14"/>
                            <w:lang w:val="en-US" w:eastAsia="zh-CN" w:bidi="ar"/>
                          </w:rPr>
                          <w:t>理财规划</w:t>
                        </w:r>
                      </w:p>
                    </w:tc>
                  </w:tr>
                </w:tbl>
                <w:p>
                  <w:pPr>
                    <w:spacing w:line="220" w:lineRule="atLeast"/>
                    <w:rPr>
                      <w:b w:val="0"/>
                      <w:color w:val="000000"/>
                      <w:sz w:val="14"/>
                      <w:szCs w:val="14"/>
                    </w:rPr>
                  </w:pPr>
                </w:p>
              </w:tc>
            </w:tr>
            <w:tr>
              <w:tblPrEx>
                <w:shd w:val="clear"/>
                <w:tblCellMar>
                  <w:top w:w="0" w:type="dxa"/>
                  <w:left w:w="0" w:type="dxa"/>
                  <w:bottom w:w="0" w:type="dxa"/>
                  <w:right w:w="0" w:type="dxa"/>
                </w:tblCellMar>
              </w:tblPrEx>
              <w:trPr>
                <w:trHeight w:val="101" w:hRule="atLeast"/>
                <w:tblCellSpacing w:w="0" w:type="dxa"/>
                <w:jc w:val="center"/>
              </w:trPr>
              <w:tc>
                <w:tcPr>
                  <w:tcW w:w="0" w:type="auto"/>
                  <w:shd w:val="clear"/>
                  <w:vAlign w:val="center"/>
                </w:tcPr>
                <w:p>
                  <w:pPr>
                    <w:rPr>
                      <w:rFonts w:hint="eastAsia" w:ascii="宋体"/>
                      <w:b w:val="0"/>
                      <w:color w:val="000000"/>
                      <w:sz w:val="14"/>
                      <w:szCs w:val="14"/>
                    </w:rPr>
                  </w:pPr>
                </w:p>
              </w:tc>
            </w:tr>
          </w:tbl>
          <w:p>
            <w:pPr>
              <w:rPr>
                <w:vanish/>
                <w:sz w:val="24"/>
                <w:szCs w:val="24"/>
              </w:rPr>
            </w:pPr>
          </w:p>
          <w:tbl>
            <w:tblPr>
              <w:tblW w:w="4900" w:type="pct"/>
              <w:jc w:val="center"/>
              <w:tblCellSpacing w:w="0" w:type="dxa"/>
              <w:shd w:val="clear"/>
              <w:tblLayout w:type="autofit"/>
              <w:tblCellMar>
                <w:top w:w="0" w:type="dxa"/>
                <w:left w:w="0" w:type="dxa"/>
                <w:bottom w:w="0" w:type="dxa"/>
                <w:right w:w="0" w:type="dxa"/>
              </w:tblCellMar>
            </w:tblPr>
            <w:tblGrid>
              <w:gridCol w:w="150"/>
              <w:gridCol w:w="6228"/>
            </w:tblGrid>
            <w:tr>
              <w:tblPrEx>
                <w:shd w:val="clear"/>
              </w:tblPrEx>
              <w:trPr>
                <w:trHeight w:val="211" w:hRule="atLeast"/>
                <w:tblCellSpacing w:w="0" w:type="dxa"/>
                <w:jc w:val="center"/>
              </w:trPr>
              <w:tc>
                <w:tcPr>
                  <w:tcW w:w="150" w:type="dxa"/>
                  <w:shd w:val="clear"/>
                  <w:vAlign w:val="center"/>
                </w:tcPr>
                <w:p>
                  <w:pPr>
                    <w:keepNext w:val="0"/>
                    <w:keepLines w:val="0"/>
                    <w:widowControl/>
                    <w:suppressLineNumbers w:val="0"/>
                    <w:spacing w:line="220" w:lineRule="atLeast"/>
                    <w:jc w:val="center"/>
                    <w:rPr>
                      <w:b w:val="0"/>
                      <w:color w:val="000000"/>
                      <w:sz w:val="14"/>
                      <w:szCs w:val="14"/>
                    </w:rPr>
                  </w:pPr>
                  <w:r>
                    <w:rPr>
                      <w:rFonts w:ascii="宋体" w:hAnsi="宋体" w:eastAsia="宋体" w:cs="宋体"/>
                      <w:b w:val="0"/>
                      <w:color w:val="000000"/>
                      <w:kern w:val="0"/>
                      <w:sz w:val="14"/>
                      <w:szCs w:val="14"/>
                      <w:lang w:val="en-US" w:eastAsia="zh-CN" w:bidi="ar"/>
                    </w:rPr>
                    <w:t>·</w:t>
                  </w:r>
                </w:p>
              </w:tc>
              <w:tc>
                <w:tcPr>
                  <w:tcW w:w="0" w:type="auto"/>
                  <w:shd w:val="clear"/>
                  <w:vAlign w:val="center"/>
                </w:tcPr>
                <w:p>
                  <w:pPr>
                    <w:keepNext w:val="0"/>
                    <w:keepLines w:val="0"/>
                    <w:widowControl/>
                    <w:suppressLineNumbers w:val="0"/>
                    <w:spacing w:line="220" w:lineRule="atLeast"/>
                    <w:jc w:val="left"/>
                    <w:rPr>
                      <w:b w:val="0"/>
                      <w:color w:val="000000"/>
                      <w:sz w:val="14"/>
                      <w:szCs w:val="14"/>
                    </w:rPr>
                  </w:pPr>
                  <w:r>
                    <w:rPr>
                      <w:rFonts w:ascii="宋体" w:hAnsi="宋体" w:eastAsia="宋体" w:cs="宋体"/>
                      <w:b w:val="0"/>
                      <w:color w:val="717171"/>
                      <w:kern w:val="0"/>
                      <w:sz w:val="14"/>
                      <w:szCs w:val="14"/>
                      <w:u w:val="none"/>
                      <w:lang w:val="en-US" w:eastAsia="zh-CN" w:bidi="ar"/>
                    </w:rPr>
                    <w:fldChar w:fldCharType="begin"/>
                  </w:r>
                  <w:r>
                    <w:rPr>
                      <w:rFonts w:ascii="宋体" w:hAnsi="宋体" w:eastAsia="宋体" w:cs="宋体"/>
                      <w:b w:val="0"/>
                      <w:color w:val="717171"/>
                      <w:kern w:val="0"/>
                      <w:sz w:val="14"/>
                      <w:szCs w:val="14"/>
                      <w:u w:val="none"/>
                      <w:lang w:val="en-US" w:eastAsia="zh-CN" w:bidi="ar"/>
                    </w:rPr>
                    <w:instrText xml:space="preserve"> HYPERLINK "http://www.pyneo.com/Cnnewmore_zz.asp?id=15" </w:instrText>
                  </w:r>
                  <w:r>
                    <w:rPr>
                      <w:rFonts w:ascii="宋体" w:hAnsi="宋体" w:eastAsia="宋体" w:cs="宋体"/>
                      <w:b w:val="0"/>
                      <w:color w:val="717171"/>
                      <w:kern w:val="0"/>
                      <w:sz w:val="14"/>
                      <w:szCs w:val="14"/>
                      <w:u w:val="none"/>
                      <w:lang w:val="en-US" w:eastAsia="zh-CN" w:bidi="ar"/>
                    </w:rPr>
                    <w:fldChar w:fldCharType="separate"/>
                  </w:r>
                  <w:r>
                    <w:rPr>
                      <w:rStyle w:val="6"/>
                      <w:rFonts w:ascii="宋体" w:hAnsi="宋体" w:eastAsia="宋体" w:cs="宋体"/>
                      <w:b w:val="0"/>
                      <w:color w:val="717171"/>
                      <w:sz w:val="14"/>
                      <w:szCs w:val="14"/>
                      <w:u w:val="none"/>
                    </w:rPr>
                    <w:t>刚毕业的年轻人如何理财（转载）</w:t>
                  </w:r>
                  <w:r>
                    <w:rPr>
                      <w:rFonts w:ascii="宋体" w:hAnsi="宋体" w:eastAsia="宋体" w:cs="宋体"/>
                      <w:b w:val="0"/>
                      <w:color w:val="717171"/>
                      <w:kern w:val="0"/>
                      <w:sz w:val="14"/>
                      <w:szCs w:val="14"/>
                      <w:u w:val="none"/>
                      <w:lang w:val="en-US" w:eastAsia="zh-CN" w:bidi="ar"/>
                    </w:rPr>
                    <w:fldChar w:fldCharType="end"/>
                  </w:r>
                </w:p>
              </w:tc>
            </w:tr>
          </w:tbl>
          <w:p>
            <w:pPr>
              <w:spacing w:line="220" w:lineRule="atLeast"/>
              <w:rPr>
                <w:rFonts w:hint="default" w:ascii="Arial" w:hAnsi="Arial" w:cs="Arial"/>
                <w:b w:val="0"/>
                <w:caps w:val="0"/>
                <w:color w:val="000000"/>
                <w:spacing w:val="0"/>
                <w:sz w:val="14"/>
                <w:szCs w:val="14"/>
              </w:rPr>
            </w:pPr>
          </w:p>
        </w:tc>
      </w:tr>
      <w:tr>
        <w:tblPrEx>
          <w:shd w:val="clear"/>
          <w:tblCellMar>
            <w:top w:w="15" w:type="dxa"/>
            <w:left w:w="15" w:type="dxa"/>
            <w:bottom w:w="15" w:type="dxa"/>
            <w:right w:w="15" w:type="dxa"/>
          </w:tblCellMar>
        </w:tblPrEx>
        <w:trPr>
          <w:tblCellSpacing w:w="15" w:type="dxa"/>
          <w:jc w:val="center"/>
        </w:trPr>
        <w:tc>
          <w:tcPr>
            <w:tcW w:w="4965" w:type="pct"/>
            <w:gridSpan w:val="4"/>
            <w:shd w:val="clear"/>
            <w:vAlign w:val="center"/>
          </w:tcPr>
          <w:p>
            <w:pPr>
              <w:jc w:val="center"/>
              <w:rPr>
                <w:rFonts w:hint="eastAsia" w:ascii="Arial" w:hAnsi="Arial" w:cs="Arial"/>
                <w:b w:val="0"/>
                <w:caps w:val="0"/>
                <w:color w:val="000000"/>
                <w:spacing w:val="0"/>
                <w:sz w:val="14"/>
                <w:szCs w:val="14"/>
              </w:rPr>
            </w:pPr>
          </w:p>
        </w:tc>
      </w:tr>
      <w:tr>
        <w:tblPrEx>
          <w:shd w:val="clear"/>
          <w:tblCellMar>
            <w:top w:w="15" w:type="dxa"/>
            <w:left w:w="15" w:type="dxa"/>
            <w:bottom w:w="15" w:type="dxa"/>
            <w:right w:w="15" w:type="dxa"/>
          </w:tblCellMar>
        </w:tblPrEx>
        <w:trPr>
          <w:trHeight w:val="301" w:hRule="atLeast"/>
          <w:tblCellSpacing w:w="15" w:type="dxa"/>
          <w:jc w:val="center"/>
        </w:trPr>
        <w:tc>
          <w:tcPr>
            <w:tcW w:w="4965" w:type="pct"/>
            <w:gridSpan w:val="4"/>
            <w:shd w:val="clear" w:color="auto" w:fill="F3F3F3"/>
            <w:vAlign w:val="center"/>
          </w:tcPr>
          <w:p>
            <w:pPr>
              <w:keepNext w:val="0"/>
              <w:keepLines w:val="0"/>
              <w:widowControl/>
              <w:suppressLineNumbers w:val="0"/>
              <w:shd w:val="clear" w:fill="F3F3F3"/>
              <w:spacing w:line="220" w:lineRule="atLeast"/>
              <w:ind w:left="0" w:firstLine="0"/>
              <w:jc w:val="center"/>
              <w:rPr>
                <w:rFonts w:hint="default" w:ascii="Arial" w:hAnsi="Arial" w:cs="Arial"/>
                <w:b w:val="0"/>
                <w:caps w:val="0"/>
                <w:color w:val="000000"/>
                <w:spacing w:val="0"/>
                <w:sz w:val="14"/>
                <w:szCs w:val="14"/>
              </w:rPr>
            </w:pPr>
            <w:r>
              <w:rPr>
                <w:rStyle w:val="5"/>
                <w:rFonts w:hint="default" w:ascii="Arial" w:hAnsi="Arial" w:eastAsia="宋体" w:cs="Arial"/>
                <w:caps w:val="0"/>
                <w:color w:val="000000"/>
                <w:spacing w:val="0"/>
                <w:kern w:val="0"/>
                <w:sz w:val="14"/>
                <w:szCs w:val="14"/>
                <w:lang w:val="en-US" w:eastAsia="zh-CN" w:bidi="ar"/>
              </w:rPr>
              <w:t>简单与复杂——佚名</w:t>
            </w:r>
          </w:p>
        </w:tc>
      </w:tr>
      <w:tr>
        <w:tblPrEx>
          <w:shd w:val="clear"/>
          <w:tblCellMar>
            <w:top w:w="15" w:type="dxa"/>
            <w:left w:w="15" w:type="dxa"/>
            <w:bottom w:w="15" w:type="dxa"/>
            <w:right w:w="15" w:type="dxa"/>
          </w:tblCellMar>
        </w:tblPrEx>
        <w:trPr>
          <w:tblCellSpacing w:w="15" w:type="dxa"/>
          <w:jc w:val="center"/>
        </w:trPr>
        <w:tc>
          <w:tcPr>
            <w:tcW w:w="4965" w:type="pct"/>
            <w:gridSpan w:val="4"/>
            <w:shd w:val="clear"/>
            <w:vAlign w:val="center"/>
          </w:tcPr>
          <w:p>
            <w:pPr>
              <w:pStyle w:val="2"/>
              <w:keepNext w:val="0"/>
              <w:keepLines w:val="0"/>
              <w:widowControl/>
              <w:suppressLineNumbers w:val="0"/>
              <w:spacing w:line="220" w:lineRule="atLeast"/>
              <w:jc w:val="left"/>
            </w:pPr>
            <w:r>
              <w:rPr>
                <w:rFonts w:ascii="Verdana" w:hAnsi="Verdana" w:cs="Verdana"/>
                <w:b w:val="0"/>
                <w:caps w:val="0"/>
                <w:color w:val="000000"/>
                <w:spacing w:val="0"/>
                <w:sz w:val="27"/>
                <w:szCs w:val="27"/>
              </w:rPr>
              <w:t>      这个世界其实很简单，只是人心很复杂。</w:t>
            </w:r>
          </w:p>
          <w:p>
            <w:pPr>
              <w:pStyle w:val="2"/>
              <w:keepNext w:val="0"/>
              <w:keepLines w:val="0"/>
              <w:widowControl/>
              <w:suppressLineNumbers w:val="0"/>
              <w:spacing w:line="220" w:lineRule="atLeast"/>
              <w:jc w:val="left"/>
            </w:pPr>
            <w:r>
              <w:rPr>
                <w:rFonts w:hint="default" w:ascii="Verdana" w:hAnsi="Verdana" w:cs="Verdana"/>
                <w:b w:val="0"/>
                <w:caps w:val="0"/>
                <w:color w:val="000000"/>
                <w:spacing w:val="0"/>
                <w:sz w:val="27"/>
                <w:szCs w:val="27"/>
              </w:rPr>
              <w:t>      其实人心也很简单，只是利益分配很复杂。</w:t>
            </w:r>
          </w:p>
          <w:p>
            <w:pPr>
              <w:pStyle w:val="2"/>
              <w:keepNext w:val="0"/>
              <w:keepLines w:val="0"/>
              <w:widowControl/>
              <w:suppressLineNumbers w:val="0"/>
              <w:spacing w:line="220" w:lineRule="atLeast"/>
              <w:jc w:val="left"/>
            </w:pPr>
            <w:r>
              <w:rPr>
                <w:rFonts w:hint="default" w:ascii="Verdana" w:hAnsi="Verdana" w:cs="Verdana"/>
                <w:b w:val="0"/>
                <w:caps w:val="0"/>
                <w:color w:val="000000"/>
                <w:spacing w:val="0"/>
                <w:sz w:val="27"/>
                <w:szCs w:val="27"/>
              </w:rPr>
              <w:t>      桌上有一堆苹果，人们并不在意这堆苹果有多少，而是在意分到自己手里有多少，单位有一摊子事，人们并不在意事有多少，而是在意自己多干了多少，人类有大智慧，却因为对得失斤斤计较，最后都变成了小聪明。</w:t>
            </w:r>
          </w:p>
          <w:p>
            <w:pPr>
              <w:pStyle w:val="2"/>
              <w:keepNext w:val="0"/>
              <w:keepLines w:val="0"/>
              <w:widowControl/>
              <w:suppressLineNumbers w:val="0"/>
              <w:spacing w:line="220" w:lineRule="atLeast"/>
              <w:jc w:val="left"/>
            </w:pPr>
            <w:r>
              <w:rPr>
                <w:rFonts w:hint="default" w:ascii="Arial" w:hAnsi="Arial" w:cs="Arial"/>
                <w:b w:val="0"/>
                <w:caps w:val="0"/>
                <w:color w:val="000000"/>
                <w:spacing w:val="0"/>
                <w:sz w:val="27"/>
                <w:szCs w:val="27"/>
              </w:rPr>
              <w:t>      </w:t>
            </w:r>
            <w:r>
              <w:rPr>
                <w:rFonts w:hint="default" w:ascii="Verdana" w:hAnsi="Verdana" w:cs="Verdana"/>
                <w:b w:val="0"/>
                <w:caps w:val="0"/>
                <w:color w:val="000000"/>
                <w:spacing w:val="0"/>
                <w:sz w:val="27"/>
                <w:szCs w:val="27"/>
              </w:rPr>
              <w:t>人生之简单，就像生命巨画中简单的几笔线条。有着舒舒朗朗的淡薄。是生命意境中的一轮明月，有着清清凉凉的宁静，</w:t>
            </w:r>
          </w:p>
          <w:p>
            <w:pPr>
              <w:pStyle w:val="2"/>
              <w:keepNext w:val="0"/>
              <w:keepLines w:val="0"/>
              <w:widowControl/>
              <w:suppressLineNumbers w:val="0"/>
              <w:spacing w:line="220" w:lineRule="atLeast"/>
              <w:jc w:val="left"/>
            </w:pPr>
            <w:r>
              <w:rPr>
                <w:rFonts w:hint="default" w:ascii="Verdana" w:hAnsi="Verdana" w:cs="Verdana"/>
                <w:b w:val="0"/>
                <w:caps w:val="0"/>
                <w:color w:val="000000"/>
                <w:spacing w:val="0"/>
                <w:sz w:val="27"/>
                <w:szCs w:val="27"/>
              </w:rPr>
              <w:t>      人生之复杂，是泼洒在生命宣纸上的墨迹，渲染着城府与事故，是拉响在生命生出的咿咿呀呀的胡琴，挥不去嘈杂与迷茫。</w:t>
            </w:r>
          </w:p>
          <w:p>
            <w:pPr>
              <w:pStyle w:val="2"/>
              <w:keepNext w:val="0"/>
              <w:keepLines w:val="0"/>
              <w:widowControl/>
              <w:suppressLineNumbers w:val="0"/>
              <w:spacing w:line="220" w:lineRule="atLeast"/>
              <w:jc w:val="left"/>
            </w:pPr>
            <w:r>
              <w:rPr>
                <w:rFonts w:hint="default" w:ascii="Verdana" w:hAnsi="Verdana" w:cs="Verdana"/>
                <w:b w:val="0"/>
                <w:caps w:val="0"/>
                <w:color w:val="000000"/>
                <w:spacing w:val="0"/>
                <w:sz w:val="27"/>
                <w:szCs w:val="27"/>
              </w:rPr>
              <w:t>      人生，说到底，简单的只有生死两个字，但由于有了命运的沉浮，有了人世的冷暖，简单的过程才变得跌宕起伏，纷繁复杂。</w:t>
            </w:r>
          </w:p>
          <w:p>
            <w:pPr>
              <w:pStyle w:val="2"/>
              <w:keepNext w:val="0"/>
              <w:keepLines w:val="0"/>
              <w:widowControl/>
              <w:suppressLineNumbers w:val="0"/>
              <w:spacing w:line="220" w:lineRule="atLeast"/>
              <w:jc w:val="left"/>
            </w:pPr>
            <w:r>
              <w:rPr>
                <w:rFonts w:hint="default" w:ascii="Verdana" w:hAnsi="Verdana" w:cs="Verdana"/>
                <w:b w:val="0"/>
                <w:caps w:val="0"/>
                <w:color w:val="000000"/>
                <w:spacing w:val="0"/>
                <w:sz w:val="27"/>
                <w:szCs w:val="27"/>
              </w:rPr>
              <w:t>      简单，是生命留给这个世界的美丽的形式，而复杂，是生命永远无法打捞的苍凉的梦境。</w:t>
            </w:r>
          </w:p>
          <w:p>
            <w:pPr>
              <w:pStyle w:val="2"/>
              <w:keepNext w:val="0"/>
              <w:keepLines w:val="0"/>
              <w:widowControl/>
              <w:suppressLineNumbers w:val="0"/>
              <w:spacing w:line="220" w:lineRule="atLeast"/>
              <w:jc w:val="left"/>
            </w:pPr>
            <w:r>
              <w:rPr>
                <w:rFonts w:hint="default" w:ascii="Verdana" w:hAnsi="Verdana" w:cs="Verdana"/>
                <w:b w:val="0"/>
                <w:caps w:val="0"/>
                <w:color w:val="000000"/>
                <w:spacing w:val="0"/>
                <w:sz w:val="27"/>
                <w:szCs w:val="27"/>
              </w:rPr>
              <w:t>      在电子期刊里，是我们自己创造的简单世界，那里有的是动人的音、诗、画；情感的真、善、美，我们期待着和你做一次心灵的旅行！</w:t>
            </w:r>
          </w:p>
        </w:tc>
      </w:tr>
    </w:tbl>
    <w:p>
      <w:pPr>
        <w:keepNext w:val="0"/>
        <w:keepLines w:val="0"/>
        <w:widowControl/>
        <w:suppressLineNumbers w:val="0"/>
        <w:jc w:val="left"/>
      </w:pPr>
    </w:p>
    <w:tbl>
      <w:tblPr>
        <w:tblW w:w="5181" w:type="pct"/>
        <w:jc w:val="center"/>
        <w:tblCellSpacing w:w="15" w:type="dxa"/>
        <w:shd w:val="clear"/>
        <w:tblLayout w:type="autofit"/>
        <w:tblCellMar>
          <w:top w:w="15" w:type="dxa"/>
          <w:left w:w="15" w:type="dxa"/>
          <w:bottom w:w="15" w:type="dxa"/>
          <w:right w:w="15" w:type="dxa"/>
        </w:tblCellMar>
      </w:tblPr>
      <w:tblGrid>
        <w:gridCol w:w="8396"/>
        <w:gridCol w:w="304"/>
      </w:tblGrid>
      <w:tr>
        <w:tblPrEx>
          <w:shd w:val="clear"/>
        </w:tblPrEx>
        <w:trPr>
          <w:gridAfter w:val="1"/>
          <w:wAfter w:w="259" w:type="dxa"/>
          <w:trHeight w:val="301" w:hRule="atLeast"/>
          <w:tblCellSpacing w:w="15" w:type="dxa"/>
          <w:jc w:val="center"/>
        </w:trPr>
        <w:tc>
          <w:tcPr>
            <w:tcW w:w="0" w:type="auto"/>
            <w:shd w:val="clear" w:color="auto" w:fill="F3F3F3"/>
            <w:vAlign w:val="center"/>
          </w:tcPr>
          <w:p>
            <w:pPr>
              <w:keepNext w:val="0"/>
              <w:keepLines w:val="0"/>
              <w:widowControl/>
              <w:suppressLineNumbers w:val="0"/>
              <w:shd w:val="clear" w:fill="F3F3F3"/>
              <w:spacing w:line="220" w:lineRule="atLeast"/>
              <w:ind w:left="0" w:firstLine="0"/>
              <w:jc w:val="center"/>
              <w:rPr>
                <w:rFonts w:ascii="Arial" w:hAnsi="Arial" w:cs="Arial"/>
                <w:b w:val="0"/>
                <w:caps w:val="0"/>
                <w:color w:val="000000"/>
                <w:spacing w:val="0"/>
                <w:sz w:val="14"/>
                <w:szCs w:val="14"/>
              </w:rPr>
            </w:pPr>
            <w:r>
              <w:rPr>
                <w:rStyle w:val="5"/>
                <w:rFonts w:hint="default" w:ascii="Arial" w:hAnsi="Arial" w:eastAsia="宋体" w:cs="Arial"/>
                <w:caps w:val="0"/>
                <w:color w:val="000000"/>
                <w:spacing w:val="0"/>
                <w:kern w:val="0"/>
                <w:sz w:val="14"/>
                <w:szCs w:val="14"/>
                <w:lang w:val="en-US" w:eastAsia="zh-CN" w:bidi="ar"/>
              </w:rPr>
              <w:t>以技术为依托 以市场为导向—总裁工作部 马慧汝</w:t>
            </w:r>
          </w:p>
        </w:tc>
      </w:tr>
      <w:tr>
        <w:tblPrEx>
          <w:shd w:val="clear"/>
        </w:tblPrEx>
        <w:trPr>
          <w:gridAfter w:val="1"/>
          <w:wAfter w:w="259" w:type="dxa"/>
          <w:tblCellSpacing w:w="15" w:type="dxa"/>
          <w:jc w:val="center"/>
        </w:trPr>
        <w:tc>
          <w:tcPr>
            <w:tcW w:w="0" w:type="auto"/>
            <w:shd w:val="clear"/>
            <w:vAlign w:val="center"/>
          </w:tcPr>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浙江大学是教育部直属、省部共建的普通高等学校，是首批进入国家“211工程”和“985工程”建设的若干所重点大学之一；是一所基础坚实、实力雄厚，特色鲜明，居于国内一流水平，在国际上有较大影响的研究型、综合型大学。</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杭州百能科技有限公司是一家以浙江大学热能工程研究所为技术依托，专业从事能源及环保领域技术和产品开发的省级高新技术企业。</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caps w:val="0"/>
                <w:color w:val="000000"/>
                <w:spacing w:val="0"/>
                <w:kern w:val="0"/>
                <w:sz w:val="14"/>
                <w:szCs w:val="14"/>
                <w:lang w:val="en-US" w:eastAsia="zh-CN" w:bidi="ar"/>
              </w:rPr>
              <w:t>以技术为依托    以市场为导向</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caps w:val="0"/>
                <w:color w:val="000000"/>
                <w:spacing w:val="0"/>
                <w:kern w:val="0"/>
                <w:sz w:val="14"/>
                <w:szCs w:val="14"/>
                <w:lang w:val="en-US" w:eastAsia="zh-CN" w:bidi="ar"/>
              </w:rPr>
              <w:t>——浙江大学与百能公司联手打造合作平台</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随着能源科技和中国经济的快速发展，优质能源需求不断增加，石油、天然气消费呈现加速增长态势，据有关部门预测，未来的10-20 年，我国石油需求仍将呈现强劲增长趋势。而国内原油产量将维持在1.6-1.9 亿吨水平，供需缺口较大。如果完全依靠进口，到2010 年我国石油对国际市场的依赖程度将高达57%。面对日趋严峻的石油供求形势和国际油价变动的不确定性，亟需从我国经济发展全局出发，结合我国资源、技术和经济条件，寻求行之有效的替代技术, 以缓解我国石油进口压力，保持国民经济的持续发展, 保障能源与经济安全。因此开发和应用清洁能源，应用水煤浆代油清洁燃烧技术是我国能源长期稳定发展的战略和现实选择。</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浙江大学和杭州百能科技有限公司瞄准这一态势，经过对当前国内及国际市场的调研，本着平等、互惠、互利、互信及共同发展的原则，整合浙江大学的技术及人才优势与百能公司强大的市场开拓能力，共同建立了以市场为导向、企业为主体、产学研相结合的技术创新合作体系，共同成立了独立的省级中小企业技术中心--杭州百能科技有限公司节能环保技术研究中心。该中心现有核心人员十余人，其中中国工程院院士一人、教授四人、副教授三人、博士一人、硕士三人，技术总监由浙江大学的曹欣玉教授担任。主要进行项目实施和相应产品的研究开发工作，力求开发出符合市场需求的新技术、新产品。</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在浙江大学技术的指导下，极大提高了公司在技术开发、设备制造和工程实施等方面的综合实施能力。公司坚持以科技创新为己任，运用雄厚的技术实力和良好的开发平台加速了科技成果转化的速度，为科研成果的市场化探索了一条新的道路，并坚实了企业产品的技术基础，大大提高了企业的市场竞争力。同时，学校充分利用企业以及其他科研单位等多种不同的教育环境和资源以及在人才培养方面的各自优势，为学生直接获取实际经验、培养优良素质，提高实践能力、综合能力和社会竞争力创造了条件，也为浙江大学热能工程研究所打造了一个培养具有一定生产实践经验的实用型人才的人才培训基地。</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caps w:val="0"/>
                <w:color w:val="000000"/>
                <w:spacing w:val="0"/>
                <w:kern w:val="0"/>
                <w:sz w:val="14"/>
                <w:szCs w:val="14"/>
                <w:lang w:val="en-US" w:eastAsia="zh-CN" w:bidi="ar"/>
              </w:rPr>
              <w:t>开创经济效益和环境效益双赢新局面</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水煤浆是一种新型的低污染代油燃料，它是由65%-75%的煤粉，30%-35%的水和少量的添加剂混合而成。它可以像油一样贮存、输送和雾化燃烧，具有燃烧效率高、污染物排放低等特点。浙江大学在国内最早进行水煤浆代油清洁燃烧技术的研究，于1981年率先在我国开展水煤浆研究以来，主持了国家“6.5”、“7.5” “8.5” 和“9.5”的水煤浆燃烧技术重大科技攻关项目，获得了广泛的工程应用，已形成了具有完全自主知识产权的水煤浆代油清洁燃烧理论、技术和配套工艺，被选为“2006年度煤炭工业十大科学技术成果”，“2007年煤炭工业十大新技术重点推广项目”。“水煤浆代油洁净燃烧技术及产业化应用”荣获2007年浙江省科技进步一等奖，“220t/h燃油设计锅炉改全烧水煤浆代油发电技术”荣获“广东省科学技术奖励二等奖”。杭州百能科技有限公司将浙江大学这一技术成果大规模地推广和应用在各种电站锅炉、工业锅炉和工业窑炉上，取得显著的经济效益。与此同时，百能公司能为用户量身订制各种型号的水煤浆喷嘴、水煤浆喷枪、燃烧器、在线过滤器等产品。公司产品与技术已出口意大利、日本、菲律宾、俄罗斯、印尼、泰国等地，在水煤浆工程成套、低NO</w:t>
            </w:r>
            <w:r>
              <w:rPr>
                <w:rFonts w:hint="default" w:ascii="Arial" w:hAnsi="Arial" w:eastAsia="宋体" w:cs="Arial"/>
                <w:b w:val="0"/>
                <w:caps w:val="0"/>
                <w:color w:val="000000"/>
                <w:spacing w:val="0"/>
                <w:kern w:val="0"/>
                <w:sz w:val="14"/>
                <w:szCs w:val="14"/>
                <w:vertAlign w:val="subscript"/>
                <w:lang w:val="en-US" w:eastAsia="zh-CN" w:bidi="ar"/>
              </w:rPr>
              <w:t>x</w:t>
            </w:r>
            <w:r>
              <w:rPr>
                <w:rFonts w:hint="default" w:ascii="Arial" w:hAnsi="Arial" w:eastAsia="宋体" w:cs="Arial"/>
                <w:b w:val="0"/>
                <w:caps w:val="0"/>
                <w:color w:val="000000"/>
                <w:spacing w:val="0"/>
                <w:kern w:val="0"/>
                <w:sz w:val="14"/>
                <w:szCs w:val="14"/>
                <w:lang w:val="en-US" w:eastAsia="zh-CN" w:bidi="ar"/>
              </w:rPr>
              <w:t>燃烧与SNCR联合深度脱销技术成套等方面拥有强大的技术后盾和工程实施能力，并取得了一系列的工程业绩。</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水煤浆因在储存、运输、燃烧排放方面具有明显的环保优势，也成为我国许多城市推广清洁燃料的首选对象。其显著优势如下：1、水煤浆与燃油相同热值下相比，其价格仅为重油的1/3 左右，以水煤浆代油具有显著的经济效益，因此是目前企业通过技术改造解困的有效途径之一；2、燃用水煤浆与直接烧煤相比，具有燃烧效率高、负荷易调控、节能和环境效益好等显著优点，所以也是洁净煤技术中的重要分支；3、水煤浆经长距离管道输送到终端后可直接燃用，储运过程全封闭，既减少损失又不污染环境，是解决我国煤炭运力不足的重要途径之一。4、与35t以下的链条炉相比，水煤浆锅炉的锅炉效率是84%，链条炉的锅炉效率是64%，节能效果显著。因此水煤浆技术是我国现行阶段适宜的代油、环保和节能技术。</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caps w:val="0"/>
                <w:color w:val="000000"/>
                <w:spacing w:val="0"/>
                <w:kern w:val="0"/>
                <w:sz w:val="14"/>
                <w:szCs w:val="14"/>
                <w:lang w:val="en-US" w:eastAsia="zh-CN" w:bidi="ar"/>
              </w:rPr>
              <w:t>星星之火已成燎原之势</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由浙江大学和杭州百能科技有限公司共同负责新建或改造并且实际应用的水煤浆锅炉已达70余台（已运行的最大水煤浆锅炉为670t/h，配南海发电厂200MW发电机组），其中电站锅炉30余台，工业锅炉20余台，工业窑炉20余台。按锅炉容量折算，应用浙江大学技术的水煤浆锅炉每年为国家约代油200万吨，按油价5800元/吨，水煤浆1000元/吨估算，年节约燃料费约72多亿，社会经济效益显著，为水煤浆技术发展作出了重要贡献。以广东茂名热电厂的410t/h燃油锅炉改烧水煤浆为例，分析浙江大学研发的水煤浆燃烧技术应用的经济社会效益。茂名电厂3、4号燃油锅炉改烧水煤浆及150万吨/年水煤浆生产线技术改造工程项目，是第二批国家重点技术改造“双高一优”项目，同时也是国家资源节约与环境保护重大示范工程项目。经过近半年的燃用水煤浆运行，累计发电量38872万千瓦时，供电量为35645万千瓦时，厂用电率为8.3%。燃用洁能水浆厂生产的水煤浆，到厂浆价为487元/吨，按照已运行半年所节省的发电成本费用为3382万元，亦即一年就可收回本项目所投入的费用。由此可见，燃烧水煤浆与燃油相比，其产出效益是相当可观的。</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其产生的社会效益也是异常显著的：就执行国家洁净煤的能源政策来说，此项目成果为全国创造了当时100MW燃油锅炉成功改造燃用水煤浆锅炉的示范。为设计制造调试运行大中型燃用水煤浆锅炉开创了一条新途径。由于改烧水煤浆，对发电机组的环保治理起了很大作用，本项目所改造的锅炉烟气中SO</w:t>
            </w:r>
            <w:r>
              <w:rPr>
                <w:rFonts w:hint="default" w:ascii="Arial" w:hAnsi="Arial" w:eastAsia="宋体" w:cs="Arial"/>
                <w:b w:val="0"/>
                <w:caps w:val="0"/>
                <w:color w:val="000000"/>
                <w:spacing w:val="0"/>
                <w:kern w:val="0"/>
                <w:sz w:val="14"/>
                <w:szCs w:val="14"/>
                <w:vertAlign w:val="subscript"/>
                <w:lang w:val="en-US" w:eastAsia="zh-CN" w:bidi="ar"/>
              </w:rPr>
              <w:t>2</w:t>
            </w:r>
            <w:r>
              <w:rPr>
                <w:rFonts w:hint="default" w:ascii="Arial" w:hAnsi="Arial" w:eastAsia="宋体" w:cs="Arial"/>
                <w:b w:val="0"/>
                <w:caps w:val="0"/>
                <w:color w:val="000000"/>
                <w:spacing w:val="0"/>
                <w:kern w:val="0"/>
                <w:sz w:val="14"/>
                <w:szCs w:val="14"/>
                <w:lang w:val="en-US" w:eastAsia="zh-CN" w:bidi="ar"/>
              </w:rPr>
              <w:t> 、 NO</w:t>
            </w:r>
            <w:r>
              <w:rPr>
                <w:rFonts w:hint="default" w:ascii="Arial" w:hAnsi="Arial" w:eastAsia="宋体" w:cs="Arial"/>
                <w:b w:val="0"/>
                <w:caps w:val="0"/>
                <w:color w:val="000000"/>
                <w:spacing w:val="0"/>
                <w:kern w:val="0"/>
                <w:sz w:val="14"/>
                <w:szCs w:val="14"/>
                <w:vertAlign w:val="subscript"/>
                <w:lang w:val="en-US" w:eastAsia="zh-CN" w:bidi="ar"/>
              </w:rPr>
              <w:t>X</w:t>
            </w:r>
            <w:r>
              <w:rPr>
                <w:rFonts w:hint="default" w:ascii="Arial" w:hAnsi="Arial" w:eastAsia="宋体" w:cs="Arial"/>
                <w:b w:val="0"/>
                <w:caps w:val="0"/>
                <w:color w:val="000000"/>
                <w:spacing w:val="0"/>
                <w:kern w:val="0"/>
                <w:sz w:val="14"/>
                <w:szCs w:val="14"/>
                <w:lang w:val="en-US" w:eastAsia="zh-CN" w:bidi="ar"/>
              </w:rPr>
              <w:t>和烟尘均低于国家和地方环保排放标准，特别是对于茂名市区的发电厂，减少了烟气中SO</w:t>
            </w:r>
            <w:r>
              <w:rPr>
                <w:rFonts w:hint="default" w:ascii="Arial" w:hAnsi="Arial" w:eastAsia="宋体" w:cs="Arial"/>
                <w:b w:val="0"/>
                <w:caps w:val="0"/>
                <w:color w:val="000000"/>
                <w:spacing w:val="0"/>
                <w:kern w:val="0"/>
                <w:sz w:val="14"/>
                <w:szCs w:val="14"/>
                <w:vertAlign w:val="subscript"/>
                <w:lang w:val="en-US" w:eastAsia="zh-CN" w:bidi="ar"/>
              </w:rPr>
              <w:t>2</w:t>
            </w:r>
            <w:r>
              <w:rPr>
                <w:rFonts w:hint="default" w:ascii="Arial" w:hAnsi="Arial" w:eastAsia="宋体" w:cs="Arial"/>
                <w:b w:val="0"/>
                <w:caps w:val="0"/>
                <w:color w:val="000000"/>
                <w:spacing w:val="0"/>
                <w:kern w:val="0"/>
                <w:sz w:val="14"/>
                <w:szCs w:val="14"/>
                <w:lang w:val="en-US" w:eastAsia="zh-CN" w:bidi="ar"/>
              </w:rPr>
              <w:t> 、 NO</w:t>
            </w:r>
            <w:r>
              <w:rPr>
                <w:rFonts w:hint="default" w:ascii="Arial" w:hAnsi="Arial" w:eastAsia="宋体" w:cs="Arial"/>
                <w:b w:val="0"/>
                <w:caps w:val="0"/>
                <w:color w:val="000000"/>
                <w:spacing w:val="0"/>
                <w:kern w:val="0"/>
                <w:sz w:val="14"/>
                <w:szCs w:val="14"/>
                <w:vertAlign w:val="subscript"/>
                <w:lang w:val="en-US" w:eastAsia="zh-CN" w:bidi="ar"/>
              </w:rPr>
              <w:t>X</w:t>
            </w:r>
            <w:r>
              <w:rPr>
                <w:rFonts w:hint="default" w:ascii="Arial" w:hAnsi="Arial" w:eastAsia="宋体" w:cs="Arial"/>
                <w:b w:val="0"/>
                <w:caps w:val="0"/>
                <w:color w:val="000000"/>
                <w:spacing w:val="0"/>
                <w:kern w:val="0"/>
                <w:sz w:val="14"/>
                <w:szCs w:val="14"/>
                <w:lang w:val="en-US" w:eastAsia="zh-CN" w:bidi="ar"/>
              </w:rPr>
              <w:t>和烟尘的排放，大大改善了社会环境。</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caps w:val="0"/>
                <w:color w:val="000000"/>
                <w:spacing w:val="0"/>
                <w:kern w:val="0"/>
                <w:sz w:val="14"/>
                <w:szCs w:val="14"/>
                <w:lang w:val="en-US" w:eastAsia="zh-CN" w:bidi="ar"/>
              </w:rPr>
              <w:t>产学研合作——企业技术创新的重要保证</w:t>
            </w:r>
            <w:r>
              <w:rPr>
                <w:rFonts w:hint="default" w:ascii="Arial" w:hAnsi="Arial" w:eastAsia="宋体" w:cs="Arial"/>
                <w:b/>
                <w:caps w:val="0"/>
                <w:color w:val="000000"/>
                <w:spacing w:val="0"/>
                <w:kern w:val="0"/>
                <w:sz w:val="14"/>
                <w:szCs w:val="14"/>
                <w:lang w:val="en-US" w:eastAsia="zh-CN" w:bidi="ar"/>
              </w:rPr>
              <w:br w:type="textWrapping"/>
            </w:r>
            <w:r>
              <w:rPr>
                <w:rFonts w:hint="default" w:ascii="Arial" w:hAnsi="Arial" w:eastAsia="宋体" w:cs="Arial"/>
                <w:b w:val="0"/>
                <w:caps w:val="0"/>
                <w:color w:val="000000"/>
                <w:spacing w:val="0"/>
                <w:kern w:val="0"/>
                <w:sz w:val="14"/>
                <w:szCs w:val="14"/>
                <w:lang w:val="en-US" w:eastAsia="zh-CN" w:bidi="ar"/>
              </w:rPr>
              <w:t>  </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产学研合作使企业、高等院校和科研单位成为技术创新体系的主体，实现生产力要素的优化配置，推进各个创新主体之间的协调、配合与共赢。浙江大学热能工程研究所密切协作建立产学研建立产学研合作模式，对公司在水煤浆技术、低NOx控制技术、SNCR（选择性非催化还原）技术、电站锅炉低负荷稳燃及防结渣技术、电站锅炉优化运行与改造技术、煤燃烧多种污染物综合脱除技术、多元优化动力配煤技术、</w:t>
            </w:r>
            <w:r>
              <w:rPr>
                <w:rFonts w:hint="default" w:ascii="Arial" w:hAnsi="Arial" w:eastAsia="宋体" w:cs="Arial"/>
                <w:b w:val="0"/>
                <w:caps w:val="0"/>
                <w:color w:val="717171"/>
                <w:spacing w:val="0"/>
                <w:kern w:val="0"/>
                <w:sz w:val="14"/>
                <w:szCs w:val="14"/>
                <w:u w:val="none"/>
                <w:lang w:val="en-US" w:eastAsia="zh-CN" w:bidi="ar"/>
              </w:rPr>
              <w:fldChar w:fldCharType="begin"/>
            </w:r>
            <w:r>
              <w:rPr>
                <w:rFonts w:hint="default" w:ascii="Arial" w:hAnsi="Arial" w:eastAsia="宋体" w:cs="Arial"/>
                <w:b w:val="0"/>
                <w:caps w:val="0"/>
                <w:color w:val="717171"/>
                <w:spacing w:val="0"/>
                <w:kern w:val="0"/>
                <w:sz w:val="14"/>
                <w:szCs w:val="14"/>
                <w:u w:val="none"/>
                <w:lang w:val="en-US" w:eastAsia="zh-CN" w:bidi="ar"/>
              </w:rPr>
              <w:instrText xml:space="preserve"> HYPERLINK "http://www.ceee.zju.edu.cn/ceuweb/cnweb_itpe/itpe01_instro/itpe03_cws/xw_cws.htm" \l "#" </w:instrText>
            </w:r>
            <w:r>
              <w:rPr>
                <w:rFonts w:hint="default" w:ascii="Arial" w:hAnsi="Arial" w:eastAsia="宋体" w:cs="Arial"/>
                <w:b w:val="0"/>
                <w:caps w:val="0"/>
                <w:color w:val="717171"/>
                <w:spacing w:val="0"/>
                <w:kern w:val="0"/>
                <w:sz w:val="14"/>
                <w:szCs w:val="14"/>
                <w:u w:val="none"/>
                <w:lang w:val="en-US" w:eastAsia="zh-CN" w:bidi="ar"/>
              </w:rPr>
              <w:fldChar w:fldCharType="separate"/>
            </w:r>
            <w:r>
              <w:rPr>
                <w:rStyle w:val="6"/>
                <w:rFonts w:hint="default" w:ascii="Arial" w:hAnsi="Arial" w:eastAsia="宋体" w:cs="Arial"/>
                <w:b w:val="0"/>
                <w:caps w:val="0"/>
                <w:color w:val="717171"/>
                <w:spacing w:val="0"/>
                <w:sz w:val="14"/>
                <w:szCs w:val="14"/>
                <w:u w:val="none"/>
              </w:rPr>
              <w:t>煤粉电站锅炉无油点火技术</w:t>
            </w:r>
            <w:r>
              <w:rPr>
                <w:rFonts w:hint="default" w:ascii="Arial" w:hAnsi="Arial" w:eastAsia="宋体" w:cs="Arial"/>
                <w:b w:val="0"/>
                <w:caps w:val="0"/>
                <w:color w:val="717171"/>
                <w:spacing w:val="0"/>
                <w:kern w:val="0"/>
                <w:sz w:val="14"/>
                <w:szCs w:val="14"/>
                <w:u w:val="none"/>
                <w:lang w:val="en-US" w:eastAsia="zh-CN" w:bidi="ar"/>
              </w:rPr>
              <w:fldChar w:fldCharType="end"/>
            </w:r>
            <w:r>
              <w:rPr>
                <w:rFonts w:hint="default" w:ascii="Arial" w:hAnsi="Arial" w:eastAsia="宋体" w:cs="Arial"/>
                <w:b w:val="0"/>
                <w:caps w:val="0"/>
                <w:color w:val="000000"/>
                <w:spacing w:val="0"/>
                <w:kern w:val="0"/>
                <w:sz w:val="14"/>
                <w:szCs w:val="14"/>
                <w:lang w:val="en-US" w:eastAsia="zh-CN" w:bidi="ar"/>
              </w:rPr>
              <w:t>、煤粉电站锅炉微油点火等技术进行指导，不仅缩短了科研成果向市场转换的时间，加速了科技成果产业化的步伐，也有助于百能公司技术进步和产品更新，改善了公司的知识结构，提高了员工的综合能力，加大了浙大技术的推广力度，增强了公司在国内及国际市场的竞争力。</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4"/>
                <w:szCs w:val="14"/>
                <w:lang w:val="en-US" w:eastAsia="zh-CN" w:bidi="ar"/>
              </w:rPr>
              <w:t> </w:t>
            </w:r>
          </w:p>
        </w:tc>
      </w:tr>
      <w:tr>
        <w:tblPrEx>
          <w:shd w:val="clear"/>
          <w:tblCellMar>
            <w:top w:w="15" w:type="dxa"/>
            <w:left w:w="15" w:type="dxa"/>
            <w:bottom w:w="15" w:type="dxa"/>
            <w:right w:w="15" w:type="dxa"/>
          </w:tblCellMar>
        </w:tblPrEx>
        <w:trPr>
          <w:trHeight w:val="301" w:hRule="atLeast"/>
          <w:tblCellSpacing w:w="15" w:type="dxa"/>
          <w:jc w:val="center"/>
        </w:trPr>
        <w:tc>
          <w:tcPr>
            <w:tcW w:w="0" w:type="auto"/>
            <w:gridSpan w:val="2"/>
            <w:shd w:val="clear" w:color="auto" w:fill="F3F3F3"/>
            <w:vAlign w:val="center"/>
          </w:tcPr>
          <w:p>
            <w:pPr>
              <w:keepNext w:val="0"/>
              <w:keepLines w:val="0"/>
              <w:widowControl/>
              <w:suppressLineNumbers w:val="0"/>
              <w:shd w:val="clear" w:fill="F3F3F3"/>
              <w:spacing w:line="220" w:lineRule="atLeast"/>
              <w:ind w:left="0" w:firstLine="0"/>
              <w:jc w:val="center"/>
              <w:rPr>
                <w:rFonts w:ascii="Arial" w:hAnsi="Arial" w:cs="Arial"/>
                <w:b w:val="0"/>
                <w:caps w:val="0"/>
                <w:color w:val="000000"/>
                <w:spacing w:val="0"/>
                <w:sz w:val="14"/>
                <w:szCs w:val="14"/>
              </w:rPr>
            </w:pPr>
            <w:r>
              <w:rPr>
                <w:rStyle w:val="5"/>
                <w:rFonts w:hint="default" w:ascii="Arial" w:hAnsi="Arial" w:eastAsia="宋体" w:cs="Arial"/>
                <w:caps w:val="0"/>
                <w:color w:val="000000"/>
                <w:spacing w:val="0"/>
                <w:kern w:val="0"/>
                <w:sz w:val="14"/>
                <w:szCs w:val="14"/>
                <w:lang w:val="en-US" w:eastAsia="zh-CN" w:bidi="ar"/>
              </w:rPr>
              <w:t>历史拐角处的浪漫 — 梅子</w:t>
            </w:r>
          </w:p>
        </w:tc>
      </w:tr>
      <w:tr>
        <w:tblPrEx>
          <w:shd w:val="clear"/>
          <w:tblCellMar>
            <w:top w:w="15" w:type="dxa"/>
            <w:left w:w="15" w:type="dxa"/>
            <w:bottom w:w="15" w:type="dxa"/>
            <w:right w:w="15" w:type="dxa"/>
          </w:tblCellMar>
        </w:tblPrEx>
        <w:trPr>
          <w:tblCellSpacing w:w="15" w:type="dxa"/>
          <w:jc w:val="center"/>
        </w:trPr>
        <w:tc>
          <w:tcPr>
            <w:tcW w:w="0" w:type="auto"/>
            <w:gridSpan w:val="2"/>
            <w:shd w:val="clear"/>
            <w:vAlign w:val="center"/>
          </w:tcPr>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eastAsia" w:ascii="宋体" w:hAnsi="宋体" w:eastAsia="宋体" w:cs="宋体"/>
                <w:b w:val="0"/>
                <w:caps w:val="0"/>
                <w:color w:val="000000"/>
                <w:spacing w:val="0"/>
                <w:kern w:val="0"/>
                <w:sz w:val="14"/>
                <w:szCs w:val="14"/>
                <w:lang w:val="en-US" w:eastAsia="zh-CN" w:bidi="ar"/>
              </w:rPr>
              <w:t>   古镇塘栖，我是在好友的口中和他带来的特产中认识的。好友是塘栖人，对塘栖自然有一种剪不断理还乱的情结，塘栖四季变化的特产和大街小巷在他的充满乡情浓意的叙说中变得很具体，我在品尝塘栖隆冬的羊肉，深秋的甘蔗，和初夏的枇杷的同时间接地认识了古镇的古朴民风，理解了他乡游子的乡愁情结，体会了古镇塘栖历史拐角处的浪漫。</w:t>
            </w:r>
          </w:p>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eastAsia" w:ascii="宋体" w:hAnsi="宋体" w:eastAsia="宋体" w:cs="宋体"/>
                <w:b w:val="0"/>
                <w:caps w:val="0"/>
                <w:color w:val="000000"/>
                <w:spacing w:val="0"/>
                <w:kern w:val="0"/>
                <w:sz w:val="14"/>
                <w:szCs w:val="14"/>
                <w:lang w:val="en-US" w:eastAsia="zh-CN" w:bidi="ar"/>
              </w:rPr>
              <w:t>  塘栖离杭州近在咫尺，然而对我来讲就像是一位遮着面纱的美少妇，我不忍掀开她的面纱，一次也没有目睹过她的芳容，情愿在好友的叙说中想象着古镇的风情。以至于我在这个怀旧的春天真实地站在这历史的拐角处，目光触摸着古镇的大街小巷时，所有的想象都变得不真实了，塘栖不是我想象中的塘栖了。和所有的城市一样，古镇也拥有了繁华的商业街，取代了古镇的原有的风貌，我再也找不到那种身穿旗袍的美少妇哒哒走在青石板上的韵味了。我在好友的叙说中一直对那沿河的廊沿有着梦一般的想象，想象着雨滴落在廊沿上的清脆划破晨梦的一刻。然而即使站在这著名的广济桥上往四处寻找，我依然找不到好友向我描绘的古镇风韵，我想象中的廊沿却不负存在。沿河一带，没有了旧时集市小贩的喧闹，取而代之的是现代气息的浓郁，人工的痕迹随处可见，眼前的古镇让我只在想象中体会着历史拐角处的浪漫。我走在那建于明代的广济桥上，这座桥俗称长桥，全长83米，169级台阶已是高低不平了，犹如年迈的老妇被岁月印证得面目全非。从史料上知道此桥是大匠尉迟恭所建，历史久远，我在怀旧的春天触摸着历史的脉搏，从桥的斑驳的扶手上感慨岁月的沧桑，我知道这座桥已见证了人间无数的悲欢离合，但桥依然。这座横跨京杭运河的大桥势如长虹，无论塘栖如何变迁，它依然是这座古镇的标志型的建筑，代表着古镇的灵魂。离开塘栖时已近黄昏，我的心里有些空荡，为没有找到想象中的廊沿而遗憾，但也为能在古镇的小巷中体会历史拐角处的浪漫而欣慰。船离古镇越来越远，离我的怀旧之梦也越来越远------。十一长假和朋友一起喝茶，其中就有塘栖的后代，谈起塘栖眉飞色舞，我无论也想象不出，塘栖古镇的味道在他乡游子的眼里是那么醇香，这也许是情感侵入的不同所产生的震撼不同罢了。回来后我对塘栖始终怀有一份意犹未尽，仓促的走马观灯只能让我体会了犹抱琵琶半遮面的意境，真正要读懂塘栖，我会再来！</w:t>
            </w:r>
            <w:r>
              <w:rPr>
                <w:rFonts w:hint="default" w:ascii="Arial" w:hAnsi="Arial" w:eastAsia="宋体" w:cs="Arial"/>
                <w:b w:val="0"/>
                <w:caps w:val="0"/>
                <w:color w:val="000000"/>
                <w:spacing w:val="0"/>
                <w:kern w:val="0"/>
                <w:sz w:val="14"/>
                <w:szCs w:val="14"/>
                <w:lang w:val="en-US" w:eastAsia="zh-CN" w:bidi="ar"/>
              </w:rPr>
              <w:t>  </w:t>
            </w:r>
          </w:p>
          <w:p>
            <w:pPr>
              <w:pStyle w:val="2"/>
              <w:keepNext w:val="0"/>
              <w:keepLines w:val="0"/>
              <w:widowControl/>
              <w:suppressLineNumbers w:val="0"/>
              <w:spacing w:line="220" w:lineRule="atLeast"/>
              <w:jc w:val="left"/>
            </w:pPr>
            <w:r>
              <w:rPr>
                <w:rFonts w:hint="default" w:ascii="Arial" w:hAnsi="Arial" w:cs="Arial"/>
                <w:b w:val="0"/>
                <w:caps w:val="0"/>
                <w:color w:val="000000"/>
                <w:spacing w:val="0"/>
                <w:sz w:val="14"/>
                <w:szCs w:val="14"/>
              </w:rPr>
              <w:t>                                                          </w:t>
            </w:r>
          </w:p>
        </w:tc>
      </w:tr>
    </w:tbl>
    <w:p/>
    <w:tbl>
      <w:tblPr>
        <w:tblW w:w="5000" w:type="pct"/>
        <w:jc w:val="center"/>
        <w:tblCellSpacing w:w="15" w:type="dxa"/>
        <w:shd w:val="clear"/>
        <w:tblLayout w:type="autofit"/>
        <w:tblCellMar>
          <w:top w:w="15" w:type="dxa"/>
          <w:left w:w="15" w:type="dxa"/>
          <w:bottom w:w="15" w:type="dxa"/>
          <w:right w:w="15" w:type="dxa"/>
        </w:tblCellMar>
      </w:tblPr>
      <w:tblGrid>
        <w:gridCol w:w="8396"/>
      </w:tblGrid>
      <w:tr>
        <w:tblPrEx>
          <w:shd w:val="clear"/>
        </w:tblPrEx>
        <w:trPr>
          <w:trHeight w:val="301" w:hRule="atLeast"/>
          <w:tblCellSpacing w:w="15" w:type="dxa"/>
          <w:jc w:val="center"/>
        </w:trPr>
        <w:tc>
          <w:tcPr>
            <w:tcW w:w="0" w:type="auto"/>
            <w:shd w:val="clear" w:color="auto" w:fill="F3F3F3"/>
            <w:vAlign w:val="center"/>
          </w:tcPr>
          <w:p>
            <w:pPr>
              <w:keepNext w:val="0"/>
              <w:keepLines w:val="0"/>
              <w:widowControl/>
              <w:suppressLineNumbers w:val="0"/>
              <w:shd w:val="clear" w:fill="F3F3F3"/>
              <w:spacing w:line="220" w:lineRule="atLeast"/>
              <w:ind w:left="0" w:firstLine="0"/>
              <w:jc w:val="center"/>
              <w:rPr>
                <w:rFonts w:ascii="Arial" w:hAnsi="Arial" w:cs="Arial"/>
                <w:b w:val="0"/>
                <w:caps w:val="0"/>
                <w:color w:val="000000"/>
                <w:spacing w:val="0"/>
                <w:sz w:val="14"/>
                <w:szCs w:val="14"/>
              </w:rPr>
            </w:pPr>
            <w:r>
              <w:rPr>
                <w:rStyle w:val="5"/>
                <w:rFonts w:hint="default" w:ascii="Arial" w:hAnsi="Arial" w:eastAsia="宋体" w:cs="Arial"/>
                <w:caps w:val="0"/>
                <w:color w:val="000000"/>
                <w:spacing w:val="0"/>
                <w:kern w:val="0"/>
                <w:sz w:val="14"/>
                <w:szCs w:val="14"/>
                <w:lang w:val="en-US" w:eastAsia="zh-CN" w:bidi="ar"/>
              </w:rPr>
              <w:t>刚毕业的年轻人如何理财（转载）</w:t>
            </w:r>
          </w:p>
        </w:tc>
      </w:tr>
      <w:tr>
        <w:tblPrEx>
          <w:shd w:val="clear"/>
          <w:tblCellMar>
            <w:top w:w="15" w:type="dxa"/>
            <w:left w:w="15" w:type="dxa"/>
            <w:bottom w:w="15" w:type="dxa"/>
            <w:right w:w="15" w:type="dxa"/>
          </w:tblCellMar>
        </w:tblPrEx>
        <w:trPr>
          <w:tblCellSpacing w:w="15" w:type="dxa"/>
          <w:jc w:val="center"/>
        </w:trPr>
        <w:tc>
          <w:tcPr>
            <w:tcW w:w="0" w:type="auto"/>
            <w:shd w:val="clear"/>
            <w:vAlign w:val="center"/>
          </w:tcPr>
          <w:p>
            <w:pPr>
              <w:keepNext w:val="0"/>
              <w:keepLines w:val="0"/>
              <w:widowControl/>
              <w:suppressLineNumbers w:val="0"/>
              <w:spacing w:line="220" w:lineRule="atLeast"/>
              <w:ind w:left="0" w:firstLine="0"/>
              <w:jc w:val="left"/>
              <w:rPr>
                <w:rFonts w:hint="default" w:ascii="Arial" w:hAnsi="Arial" w:cs="Arial"/>
                <w:b w:val="0"/>
                <w:caps w:val="0"/>
                <w:color w:val="000000"/>
                <w:spacing w:val="0"/>
                <w:sz w:val="14"/>
                <w:szCs w:val="14"/>
              </w:rPr>
            </w:pPr>
            <w:r>
              <w:rPr>
                <w:rFonts w:hint="default" w:ascii="Arial" w:hAnsi="Arial" w:eastAsia="宋体" w:cs="Arial"/>
                <w:b w:val="0"/>
                <w:caps w:val="0"/>
                <w:color w:val="000000"/>
                <w:spacing w:val="0"/>
                <w:kern w:val="0"/>
                <w:sz w:val="12"/>
                <w:szCs w:val="12"/>
                <w:lang w:val="en-US" w:eastAsia="zh-CN" w:bidi="ar"/>
              </w:rPr>
              <w:t>零存整取法单身青年一切吃穿用度皆要自己操持，一日三餐、基本日用品、骑个自行车、坐趟公交车、一本令人心动的小说、一场赏心悦目的电影、一件价廉物美的衣物……钱款进出钱包的频率相当高，因此一日下来，你会发现你的钱包里多了许多零钱(人民币5元以下)，此时你可将其悉数取出，专门置放一处，以后如法炮制，日日坚持，一日、一季或</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半年上银行换成整钱结算一次，此时平常不善存钱的你，便会惊喜地发现每日取出存放的、无足轻重的零钱已汇聚成一笔可观的数目。</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忍者神龟法如今不少单身青年注重时尚，追求品牌，购买名牌物品劲头十足，但狂热拥戴名牌的结果，只会陷入入不敷出的窘境。因此在面对名牌冲动时，你要学会忍，要将有限的财力用在刀刃上。事实上，只要你做个有心人，完全可在各种不同的打折销售时期，花上原价几分之一的价钱，购上你心仪的名牌。</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健康省钱法许多单身青年自恃年轻体健，对一些自认为的小疾病不看病不吃药，以为会省下不少医药费，实际上这是“贪小失大”的短视行为。一两次硬撑，也许让你蒙混过关，倘若一次延误治疗，小病扛成重病，糟蹋了身体不说，惊人的医药费还会将你原本不多的积蓄一扫而光。因此单身青年朋友一定要珍惜自己的身体，日常加强锻炼，遇有疾病苗头应趁早治疗。</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平安赚钱法单身青年一人独居，自我照顾，尤要注重安全理财法。日常用电用气、防火防盗都要做好十分的安全防范工作，常用硬件如自行车、热水器、煤气灶、电插座等如有老化、破损应及时更换，不可为省钱而将就。</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潜力发掘法也许你目前所从事的职业未必能用到你的全部技能，或是你能轻松完成本职工作，尚余有大量精力，此时你便要克服惰性，充分发挥潜力，趁着年轻单身时大干快上，如文笔好的可从事业余创作，学有财务知识的不妨做第二职业等等，这不仅对你的本职工作大有裨益，同时也会积累可观的资本。</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完美投资法经过综合运用上述五法的“开源、节流”，你已是个拥有一定资产的单身青年，此时理财的重点便要转向投资。如强迫储蓄投资，有条件可将资产的一部分作为首付款购买房产，不足部分向银行贷款，强迫不善定期存钱的你按期还款付息，其余资产可投资于国债、基金或申购新股等风险性较低而回报颇高的项目，将收益用于加快还贷。如果你具备相关的知识，又有较强的风险意识，就可尝试将资产的70%投入风险较高的积极型投资(如股票)，余下的30%用于保守型的投资(如国债、定存)。还可将资产分为五份，分别投资国债、保险、股票、定期储蓄或活期储蓄，风险投资、保险投资、应急用钱皆可照顾得到。</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1、每月用600元存购买一年期的银行理财产品，利率一般在2.5％左右，还不扣利息税。但是要每月坚持买500元，这样一年下来是7200元，而且每月有到期资金，不耽误流动性。</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2、用400元，买货币市场基金，现在的收益率在1.8％，也是不扣利息税。没有买400元，一年就是4800元，而且可以随时赎回，不收手续费。</w:t>
            </w:r>
            <w:r>
              <w:rPr>
                <w:rFonts w:hint="default" w:ascii="Arial" w:hAnsi="Arial" w:eastAsia="宋体" w:cs="Arial"/>
                <w:b w:val="0"/>
                <w:caps w:val="0"/>
                <w:color w:val="000000"/>
                <w:spacing w:val="0"/>
                <w:kern w:val="0"/>
                <w:sz w:val="12"/>
                <w:szCs w:val="12"/>
                <w:lang w:val="en-US" w:eastAsia="zh-CN" w:bidi="ar"/>
              </w:rPr>
              <w:br w:type="textWrapping"/>
            </w:r>
            <w:r>
              <w:rPr>
                <w:rFonts w:hint="default" w:ascii="Arial" w:hAnsi="Arial" w:eastAsia="宋体" w:cs="Arial"/>
                <w:b w:val="0"/>
                <w:caps w:val="0"/>
                <w:color w:val="000000"/>
                <w:spacing w:val="0"/>
                <w:kern w:val="0"/>
                <w:sz w:val="12"/>
                <w:szCs w:val="12"/>
                <w:lang w:val="en-US" w:eastAsia="zh-CN" w:bidi="ar"/>
              </w:rPr>
              <w:t>一年下来就12000元，还不算利息。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79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2021-02-22T07:59:53Z</dcterms:created>
  <dc:creator>yangs</dc:creator>
  <cp:lastModifiedBy>yangsf</cp:lastModifiedBy>
  <dcterms:modified xsi:type="dcterms:W3CDTF">2021-02-22T08:02:13Z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